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60" w:type="dxa"/>
        <w:tblLook w:val="01E0" w:firstRow="1" w:lastRow="1" w:firstColumn="1" w:lastColumn="1" w:noHBand="0" w:noVBand="0"/>
      </w:tblPr>
      <w:tblGrid>
        <w:gridCol w:w="9760"/>
      </w:tblGrid>
      <w:tr w:rsidR="00DD1F94" w14:paraId="7B558588" w14:textId="77777777" w:rsidTr="008D0158">
        <w:tc>
          <w:tcPr>
            <w:tcW w:w="4124" w:type="dxa"/>
          </w:tcPr>
          <w:p w14:paraId="52DADF8B" w14:textId="77777777" w:rsidR="00DD1F94" w:rsidRDefault="00DD1F94" w:rsidP="00834BB7"/>
          <w:p w14:paraId="31BEAF3D" w14:textId="77777777" w:rsidR="00DD1F94" w:rsidRPr="00B87276" w:rsidRDefault="00DD1F94" w:rsidP="00C806D4">
            <w:r>
              <w:t xml:space="preserve"> </w:t>
            </w:r>
          </w:p>
        </w:tc>
      </w:tr>
      <w:tr w:rsidR="00DD1F94" w:rsidRPr="00476517" w14:paraId="19DED3D3" w14:textId="77777777" w:rsidTr="006964A2">
        <w:trPr>
          <w:trHeight w:val="1427"/>
        </w:trPr>
        <w:tc>
          <w:tcPr>
            <w:tcW w:w="4124" w:type="dxa"/>
          </w:tcPr>
          <w:p w14:paraId="1AF0B276" w14:textId="77777777" w:rsidR="00DD1F94" w:rsidRDefault="00DD1F94" w:rsidP="007C343D">
            <w:pPr>
              <w:jc w:val="both"/>
            </w:pPr>
            <w:r w:rsidRPr="009573D4">
              <w:t xml:space="preserve">Temeljem članka </w:t>
            </w:r>
            <w:r>
              <w:t>87. Stat</w:t>
            </w:r>
            <w:r w:rsidR="006211B2">
              <w:t>uta OŠ „Braća Radić</w:t>
            </w:r>
            <w:r>
              <w:t>“ Koprivnica a u vezi s člankom 7. Zakona o fiskalnoj odgovornosti („Narodne Novine“ broj 139/10. i 19/14.) i članka 7. Uredbe o sastavljanju i predaji Izjave o fiskalnoj odgovornosti („Narodne Novine“ broj 78/11., 106/12., 130/13.</w:t>
            </w:r>
            <w:r w:rsidR="006211B2">
              <w:t>, 19/15. i 119/15.) ravnatelj</w:t>
            </w:r>
            <w:r>
              <w:t xml:space="preserve"> Osnovne</w:t>
            </w:r>
            <w:r w:rsidR="006211B2">
              <w:t xml:space="preserve"> škole „ Braća Radić</w:t>
            </w:r>
            <w:r>
              <w:t>“ Koprivnica donosi</w:t>
            </w:r>
          </w:p>
          <w:p w14:paraId="1EFB1CAE" w14:textId="77777777" w:rsidR="00DD1F94" w:rsidRDefault="00DD1F94" w:rsidP="008D0158"/>
          <w:p w14:paraId="22880173" w14:textId="77777777" w:rsidR="00DD1F94" w:rsidRDefault="00DD1F94" w:rsidP="00BF7D70">
            <w:pPr>
              <w:jc w:val="center"/>
              <w:rPr>
                <w:b/>
              </w:rPr>
            </w:pPr>
            <w:r>
              <w:rPr>
                <w:b/>
              </w:rPr>
              <w:t>Proceduru praćenja i naplate prihoda</w:t>
            </w:r>
          </w:p>
          <w:p w14:paraId="56AC6222" w14:textId="77777777" w:rsidR="00DD1F94" w:rsidRDefault="006211B2" w:rsidP="00BF7D70">
            <w:pPr>
              <w:jc w:val="center"/>
              <w:rPr>
                <w:b/>
              </w:rPr>
            </w:pPr>
            <w:r>
              <w:rPr>
                <w:b/>
              </w:rPr>
              <w:t>u OŠ „ Braća Radić</w:t>
            </w:r>
            <w:r w:rsidR="00DD1F94">
              <w:rPr>
                <w:b/>
              </w:rPr>
              <w:t>“ Koprivnica</w:t>
            </w:r>
          </w:p>
          <w:p w14:paraId="2E3D8586" w14:textId="77777777" w:rsidR="00DD1F94" w:rsidRDefault="00DD1F94" w:rsidP="009573D4">
            <w:pPr>
              <w:jc w:val="center"/>
              <w:rPr>
                <w:b/>
              </w:rPr>
            </w:pPr>
          </w:p>
          <w:p w14:paraId="093830FC" w14:textId="77777777" w:rsidR="00DD1F94" w:rsidRDefault="00DD1F94" w:rsidP="009573D4">
            <w:pPr>
              <w:jc w:val="center"/>
            </w:pPr>
            <w:r>
              <w:t>Članak 1.</w:t>
            </w:r>
          </w:p>
          <w:p w14:paraId="4BBBFC14" w14:textId="77777777" w:rsidR="00DD1F94" w:rsidRDefault="00DD1F94" w:rsidP="009573D4">
            <w:pPr>
              <w:jc w:val="center"/>
            </w:pPr>
          </w:p>
          <w:p w14:paraId="05C25E84" w14:textId="77777777" w:rsidR="00DD1F94" w:rsidRDefault="00DD1F94" w:rsidP="00CC0AF3">
            <w:pPr>
              <w:jc w:val="both"/>
            </w:pPr>
            <w:r>
              <w:t>Ovim aktom utvrđuje se obveza pojedinih slu</w:t>
            </w:r>
            <w:r w:rsidR="006211B2">
              <w:t>žbi OŠ „ Braća Radić</w:t>
            </w:r>
            <w:r>
              <w:t>“ Koprivnica (u daljnjem tekstu: Škola) te propisuje procedura, odnosno način i rokovi praćenja i naplate prihoda Škole.</w:t>
            </w:r>
          </w:p>
          <w:p w14:paraId="0CB099DD" w14:textId="77777777" w:rsidR="00DD1F94" w:rsidRDefault="00DD1F94" w:rsidP="00CC0AF3">
            <w:pPr>
              <w:jc w:val="both"/>
            </w:pPr>
          </w:p>
          <w:p w14:paraId="6E0B77B1" w14:textId="77777777" w:rsidR="00DD1F94" w:rsidRDefault="00DD1F94" w:rsidP="00CC0AF3">
            <w:pPr>
              <w:jc w:val="both"/>
            </w:pPr>
            <w:r>
              <w:t xml:space="preserve">Prihodi koje Škola naplaćuje su vlastiti </w:t>
            </w:r>
            <w:r w:rsidR="005E1A89">
              <w:t xml:space="preserve">(najam školskih prostorija i stanova) </w:t>
            </w:r>
            <w:r>
              <w:t>i prihodi za posebne namjene (školska kuhinja).</w:t>
            </w:r>
          </w:p>
          <w:p w14:paraId="48FBBB49" w14:textId="77777777" w:rsidR="006211B2" w:rsidRDefault="006211B2" w:rsidP="00CC0AF3">
            <w:pPr>
              <w:jc w:val="both"/>
            </w:pPr>
          </w:p>
          <w:p w14:paraId="7C4CAE44" w14:textId="77777777" w:rsidR="006211B2" w:rsidRDefault="006211B2" w:rsidP="00CC0AF3">
            <w:pPr>
              <w:jc w:val="both"/>
            </w:pPr>
            <w:r>
              <w:t xml:space="preserve">Ako škola ugovori zakup prostora </w:t>
            </w:r>
            <w:r w:rsidR="007E496B">
              <w:t xml:space="preserve">u </w:t>
            </w:r>
            <w:r>
              <w:t xml:space="preserve">vrijednosti većoj od 20.000,00 kuna godišnje, s kupcem ugovara instrument osiguranja plaćanja. </w:t>
            </w:r>
          </w:p>
          <w:p w14:paraId="24C6633C" w14:textId="77777777" w:rsidR="00DD1F94" w:rsidRDefault="00DD1F94" w:rsidP="00884D11"/>
          <w:p w14:paraId="69D9CA70" w14:textId="77777777" w:rsidR="00DD1F94" w:rsidRDefault="00DD1F94" w:rsidP="007C343D">
            <w:pPr>
              <w:jc w:val="center"/>
            </w:pPr>
            <w:r>
              <w:t>Članak 2.</w:t>
            </w:r>
          </w:p>
          <w:p w14:paraId="63381C21" w14:textId="77777777" w:rsidR="00DD1F94" w:rsidRDefault="00DD1F94" w:rsidP="007C343D">
            <w:pPr>
              <w:jc w:val="both"/>
            </w:pPr>
            <w:r>
              <w:t>Procedura iz članka 1. izvodi se po sljedećem postupku, osim ako posebnim propisom nije drugačije određeno:</w:t>
            </w:r>
          </w:p>
          <w:p w14:paraId="7A9BF7F9" w14:textId="77777777" w:rsidR="00DD1F94" w:rsidRDefault="00DD1F94" w:rsidP="007C343D">
            <w:pPr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27"/>
              <w:gridCol w:w="3220"/>
              <w:gridCol w:w="1902"/>
              <w:gridCol w:w="1899"/>
              <w:gridCol w:w="1886"/>
            </w:tblGrid>
            <w:tr w:rsidR="00DD1F94" w14:paraId="7D56AD83" w14:textId="77777777" w:rsidTr="0085072A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5116E" w14:textId="77777777" w:rsidR="00DD1F94" w:rsidRPr="0085072A" w:rsidRDefault="00DD1F94" w:rsidP="00D23A6F">
                  <w:r w:rsidRPr="0085072A">
                    <w:rPr>
                      <w:sz w:val="22"/>
                      <w:szCs w:val="22"/>
                    </w:rPr>
                    <w:t xml:space="preserve">Red. </w:t>
                  </w:r>
                </w:p>
                <w:p w14:paraId="27FA7A1C" w14:textId="77777777" w:rsidR="00DD1F94" w:rsidRPr="0085072A" w:rsidRDefault="00DD1F94" w:rsidP="00D23A6F">
                  <w:r w:rsidRPr="0085072A">
                    <w:rPr>
                      <w:sz w:val="22"/>
                      <w:szCs w:val="22"/>
                    </w:rPr>
                    <w:t>br.</w:t>
                  </w: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B5325" w14:textId="77777777" w:rsidR="00DD1F94" w:rsidRPr="0085072A" w:rsidRDefault="00DD1F94" w:rsidP="00D23A6F"/>
                <w:p w14:paraId="4C219D83" w14:textId="77777777" w:rsidR="00DD1F94" w:rsidRPr="0085072A" w:rsidRDefault="00DD1F94" w:rsidP="0085072A">
                  <w:pPr>
                    <w:jc w:val="center"/>
                  </w:pPr>
                  <w:r w:rsidRPr="0085072A">
                    <w:rPr>
                      <w:sz w:val="22"/>
                      <w:szCs w:val="22"/>
                    </w:rPr>
                    <w:t>AKTIVNOST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49A15" w14:textId="77777777" w:rsidR="00DD1F94" w:rsidRPr="0085072A" w:rsidRDefault="00DD1F94" w:rsidP="00D23A6F"/>
                <w:p w14:paraId="05B7FC43" w14:textId="77777777" w:rsidR="00DD1F94" w:rsidRPr="0085072A" w:rsidRDefault="00DD1F94" w:rsidP="0085072A">
                  <w:pPr>
                    <w:jc w:val="center"/>
                  </w:pPr>
                  <w:r w:rsidRPr="0085072A">
                    <w:rPr>
                      <w:sz w:val="22"/>
                      <w:szCs w:val="22"/>
                    </w:rPr>
                    <w:t>NADLEŽNOST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547A4" w14:textId="77777777" w:rsidR="00DD1F94" w:rsidRPr="0085072A" w:rsidRDefault="00DD1F94" w:rsidP="00D23A6F"/>
                <w:p w14:paraId="28AA4C5A" w14:textId="77777777" w:rsidR="00DD1F94" w:rsidRPr="0085072A" w:rsidRDefault="00DD1F94" w:rsidP="0085072A">
                  <w:pPr>
                    <w:jc w:val="center"/>
                  </w:pPr>
                  <w:r w:rsidRPr="0085072A">
                    <w:rPr>
                      <w:sz w:val="22"/>
                      <w:szCs w:val="22"/>
                    </w:rPr>
                    <w:t>DOKUMENT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FD038" w14:textId="77777777" w:rsidR="00DD1F94" w:rsidRPr="0085072A" w:rsidRDefault="00DD1F94" w:rsidP="00D23A6F"/>
                <w:p w14:paraId="3323BEAC" w14:textId="77777777" w:rsidR="00DD1F94" w:rsidRPr="0085072A" w:rsidRDefault="00DD1F94" w:rsidP="0085072A">
                  <w:pPr>
                    <w:jc w:val="center"/>
                  </w:pPr>
                  <w:r w:rsidRPr="0085072A">
                    <w:rPr>
                      <w:sz w:val="22"/>
                      <w:szCs w:val="22"/>
                    </w:rPr>
                    <w:t>ROK</w:t>
                  </w:r>
                </w:p>
              </w:tc>
            </w:tr>
            <w:tr w:rsidR="00DD1F94" w14:paraId="7AAABD2F" w14:textId="77777777" w:rsidTr="0085072A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B836A" w14:textId="77777777" w:rsidR="00DD1F94" w:rsidRPr="0085072A" w:rsidRDefault="00DD1F94" w:rsidP="0085072A">
                  <w:pPr>
                    <w:jc w:val="center"/>
                    <w:rPr>
                      <w:sz w:val="18"/>
                      <w:szCs w:val="18"/>
                    </w:rPr>
                  </w:pPr>
                  <w:r w:rsidRPr="0085072A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D20B2" w14:textId="77777777" w:rsidR="00DD1F94" w:rsidRPr="0085072A" w:rsidRDefault="00DD1F94" w:rsidP="0085072A">
                  <w:pPr>
                    <w:jc w:val="center"/>
                    <w:rPr>
                      <w:sz w:val="18"/>
                      <w:szCs w:val="18"/>
                    </w:rPr>
                  </w:pPr>
                  <w:r w:rsidRPr="0085072A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C266E" w14:textId="77777777" w:rsidR="00DD1F94" w:rsidRPr="0085072A" w:rsidRDefault="00DD1F94" w:rsidP="0085072A">
                  <w:pPr>
                    <w:jc w:val="center"/>
                    <w:rPr>
                      <w:sz w:val="18"/>
                      <w:szCs w:val="18"/>
                    </w:rPr>
                  </w:pPr>
                  <w:r w:rsidRPr="0085072A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B2020" w14:textId="77777777" w:rsidR="00DD1F94" w:rsidRPr="0085072A" w:rsidRDefault="00DD1F94" w:rsidP="0085072A">
                  <w:pPr>
                    <w:jc w:val="center"/>
                    <w:rPr>
                      <w:sz w:val="18"/>
                      <w:szCs w:val="18"/>
                    </w:rPr>
                  </w:pPr>
                  <w:r w:rsidRPr="0085072A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C677B" w14:textId="77777777" w:rsidR="00DD1F94" w:rsidRPr="0085072A" w:rsidRDefault="00DD1F94" w:rsidP="0085072A">
                  <w:pPr>
                    <w:jc w:val="center"/>
                    <w:rPr>
                      <w:sz w:val="18"/>
                      <w:szCs w:val="18"/>
                    </w:rPr>
                  </w:pPr>
                  <w:r w:rsidRPr="0085072A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DD1F94" w14:paraId="16F28F08" w14:textId="77777777" w:rsidTr="0085072A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8BCAC" w14:textId="77777777" w:rsidR="00DD1F94" w:rsidRDefault="00DD1F94" w:rsidP="0085072A">
                  <w:pPr>
                    <w:jc w:val="center"/>
                  </w:pPr>
                </w:p>
                <w:p w14:paraId="4CDACB0E" w14:textId="77777777" w:rsidR="00DD1F94" w:rsidRPr="0085072A" w:rsidRDefault="00DD1F94" w:rsidP="0085072A">
                  <w:pPr>
                    <w:jc w:val="center"/>
                  </w:pPr>
                  <w:r w:rsidRPr="0085072A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CB740" w14:textId="77777777" w:rsidR="00DD1F94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7CFED096" w14:textId="77777777"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Dostava podataka računovodstvu potrebnih za izdavanje računa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50F7D" w14:textId="77777777" w:rsidR="00DD1F94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2F8023AD" w14:textId="77777777" w:rsidR="00DD1F94" w:rsidRPr="0085072A" w:rsidRDefault="00BF1D2B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Ravnatelj</w:t>
                  </w:r>
                  <w:r w:rsidRPr="0085072A">
                    <w:rPr>
                      <w:sz w:val="20"/>
                      <w:szCs w:val="20"/>
                    </w:rPr>
                    <w:t>, Tajništvo</w:t>
                  </w:r>
                  <w:r w:rsidR="00DD1F94" w:rsidRPr="0085072A">
                    <w:rPr>
                      <w:sz w:val="20"/>
                      <w:szCs w:val="20"/>
                    </w:rPr>
                    <w:t>, Razrednici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56196" w14:textId="77777777"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Ugovor, Narudžbenica,</w:t>
                  </w:r>
                </w:p>
                <w:p w14:paraId="37DDAB1B" w14:textId="77777777"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Evidencija o broju učenika koji se hrane u školskoj kuhinji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A0F10" w14:textId="77777777" w:rsidR="00DD1F94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0D20B401" w14:textId="77777777" w:rsidR="00DD1F94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3AA64003" w14:textId="77777777"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DD1F94" w14:paraId="553B8004" w14:textId="77777777" w:rsidTr="0085072A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5D482" w14:textId="77777777" w:rsidR="00DD1F94" w:rsidRPr="0085072A" w:rsidRDefault="00DD1F94" w:rsidP="0085072A">
                  <w:pPr>
                    <w:jc w:val="center"/>
                  </w:pPr>
                  <w:r w:rsidRPr="0085072A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67EAE" w14:textId="77777777"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Izdavanje/izrada računa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6B200" w14:textId="77777777"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78D35" w14:textId="77777777"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Račun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0F09C" w14:textId="77777777"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DD1F94" w14:paraId="67AD3AF4" w14:textId="77777777" w:rsidTr="0085072A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AF025" w14:textId="77777777" w:rsidR="00DD1F94" w:rsidRPr="0085072A" w:rsidRDefault="00DD1F94" w:rsidP="0085072A">
                  <w:pPr>
                    <w:jc w:val="center"/>
                  </w:pPr>
                  <w:r w:rsidRPr="0085072A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B9B59" w14:textId="77777777"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0C13925B" w14:textId="77777777"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Ovjera i potpis računa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26B8C" w14:textId="77777777"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3A44C66E" w14:textId="77777777" w:rsidR="00DD1F94" w:rsidRPr="0085072A" w:rsidRDefault="00BF1D2B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Ravnatelj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7D4B5D" w14:textId="77777777" w:rsidR="00DD1F94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10C13416" w14:textId="77777777"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Račun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7E8DC" w14:textId="77777777"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2 dana od izrade računa</w:t>
                  </w:r>
                </w:p>
              </w:tc>
            </w:tr>
            <w:tr w:rsidR="00DD1F94" w14:paraId="33E080B7" w14:textId="77777777" w:rsidTr="0085072A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BB8638" w14:textId="77777777" w:rsidR="00DD1F94" w:rsidRPr="0085072A" w:rsidRDefault="00DD1F94" w:rsidP="0085072A">
                  <w:pPr>
                    <w:jc w:val="center"/>
                  </w:pPr>
                  <w:r w:rsidRPr="0085072A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8FB8B" w14:textId="77777777"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Slanje izlaznog računa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6DE3C" w14:textId="77777777"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Tajništvo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87C5D" w14:textId="77777777"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Knjiga izlazne pošte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7CA16" w14:textId="77777777"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2 dana nakon ovjere</w:t>
                  </w:r>
                </w:p>
              </w:tc>
            </w:tr>
            <w:tr w:rsidR="00DD1F94" w14:paraId="27BD3E84" w14:textId="77777777" w:rsidTr="0085072A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6B456" w14:textId="77777777" w:rsidR="00DD1F94" w:rsidRPr="0085072A" w:rsidRDefault="00DD1F94" w:rsidP="0085072A">
                  <w:pPr>
                    <w:jc w:val="center"/>
                  </w:pPr>
                  <w:r w:rsidRPr="0085072A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1287F" w14:textId="77777777"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7AEB877F" w14:textId="77777777"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Unos podataka u sustav (knjiženje izlaznih računa)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9FA8A" w14:textId="77777777"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51CD4D15" w14:textId="77777777"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30D5F" w14:textId="77777777"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Knjiga izlaznih računa, Glavna knjiga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4E130" w14:textId="77777777" w:rsidR="00DD1F94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7A6FA296" w14:textId="77777777" w:rsidR="00DD1F94" w:rsidRPr="0085072A" w:rsidRDefault="003E48DF" w:rsidP="007C343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Unutar </w:t>
                  </w:r>
                  <w:r w:rsidR="00DD1F94" w:rsidRPr="0085072A">
                    <w:rPr>
                      <w:sz w:val="20"/>
                      <w:szCs w:val="20"/>
                    </w:rPr>
                    <w:t>mjeseca na koji se račun odnosi</w:t>
                  </w:r>
                </w:p>
              </w:tc>
            </w:tr>
            <w:tr w:rsidR="00DD1F94" w14:paraId="33F1A0A8" w14:textId="77777777" w:rsidTr="0085072A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428B2" w14:textId="77777777" w:rsidR="00DD1F94" w:rsidRPr="0085072A" w:rsidRDefault="00DD1F94" w:rsidP="0085072A">
                  <w:pPr>
                    <w:jc w:val="center"/>
                  </w:pPr>
                </w:p>
                <w:p w14:paraId="7A69E6DD" w14:textId="77777777" w:rsidR="00DD1F94" w:rsidRPr="0085072A" w:rsidRDefault="00DD1F94" w:rsidP="0085072A">
                  <w:pPr>
                    <w:jc w:val="center"/>
                  </w:pPr>
                  <w:r w:rsidRPr="0085072A"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AA0F3" w14:textId="77777777"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378D5D13" w14:textId="77777777"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Evidentiranje naplaćenih prihoda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870BA" w14:textId="77777777"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21496CB5" w14:textId="77777777"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DC2D21" w14:textId="77777777"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Knjiga ulaznih računa, Glavna knjiga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C0881" w14:textId="77777777" w:rsidR="00DD1F94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359F1B93" w14:textId="77777777"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Tjedno</w:t>
                  </w:r>
                </w:p>
              </w:tc>
            </w:tr>
            <w:tr w:rsidR="00DD1F94" w14:paraId="32271CFE" w14:textId="77777777" w:rsidTr="0085072A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D2718" w14:textId="77777777" w:rsidR="00DD1F94" w:rsidRPr="0085072A" w:rsidRDefault="00DD1F94" w:rsidP="0085072A">
                  <w:pPr>
                    <w:jc w:val="center"/>
                  </w:pPr>
                </w:p>
                <w:p w14:paraId="28C1AA4C" w14:textId="77777777" w:rsidR="00DD1F94" w:rsidRPr="0085072A" w:rsidRDefault="00DD1F94" w:rsidP="0085072A">
                  <w:pPr>
                    <w:jc w:val="center"/>
                  </w:pPr>
                  <w:r w:rsidRPr="0085072A"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EF2A3" w14:textId="77777777"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5A9F2690" w14:textId="77777777"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Praćenje naplate prihoda (analitika)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749DE" w14:textId="77777777"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14F97E2D" w14:textId="77777777"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A447D" w14:textId="77777777"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Izvadak po poslovnom računu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23579" w14:textId="77777777" w:rsidR="00DD1F94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785A1010" w14:textId="77777777" w:rsidR="00DD1F94" w:rsidRPr="0085072A" w:rsidRDefault="00DD1F94" w:rsidP="007C343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</w:t>
                  </w:r>
                  <w:r w:rsidRPr="0085072A">
                    <w:rPr>
                      <w:sz w:val="20"/>
                      <w:szCs w:val="20"/>
                    </w:rPr>
                    <w:t>Tjedno</w:t>
                  </w:r>
                </w:p>
              </w:tc>
            </w:tr>
            <w:tr w:rsidR="00DD1F94" w14:paraId="6B2E1753" w14:textId="77777777" w:rsidTr="0085072A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00B53" w14:textId="77777777" w:rsidR="00DD1F94" w:rsidRPr="0085072A" w:rsidRDefault="00DD1F94" w:rsidP="0085072A">
                  <w:pPr>
                    <w:jc w:val="center"/>
                  </w:pPr>
                  <w:r w:rsidRPr="0085072A">
                    <w:rPr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F3AD5" w14:textId="77777777"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Utvrđivanje stanja dospjelih i nenaplaćenih potraživanja/prihoda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0C264" w14:textId="77777777"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E34F8" w14:textId="77777777"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Analitička kartica poslovnih partnera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2E23D" w14:textId="77777777"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Mjesečno</w:t>
                  </w:r>
                </w:p>
              </w:tc>
            </w:tr>
            <w:tr w:rsidR="00DD1F94" w14:paraId="41B9763A" w14:textId="77777777" w:rsidTr="0085072A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1AAD6" w14:textId="77777777" w:rsidR="00DD1F94" w:rsidRPr="0085072A" w:rsidRDefault="00DD1F94" w:rsidP="0085072A">
                  <w:pPr>
                    <w:jc w:val="center"/>
                  </w:pPr>
                  <w:r w:rsidRPr="0085072A">
                    <w:rPr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3ABF0" w14:textId="77777777"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Upozoravanje i izdavanje opomena i opomena pred tužbu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7C1A6" w14:textId="77777777"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CBE44" w14:textId="77777777"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Opomene i opomene pred tužbu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C230D" w14:textId="77777777"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DD1F94" w14:paraId="195F5A28" w14:textId="77777777" w:rsidTr="0085072A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95402" w14:textId="77777777" w:rsidR="00DD1F94" w:rsidRPr="00874120" w:rsidRDefault="00DD1F94" w:rsidP="00D23A6F">
                  <w:pPr>
                    <w:rPr>
                      <w:sz w:val="20"/>
                      <w:szCs w:val="20"/>
                    </w:rPr>
                  </w:pPr>
                  <w:r w:rsidRPr="00874120">
                    <w:rPr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88866" w14:textId="77777777" w:rsidR="00DD1F94" w:rsidRPr="00874120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74120">
                    <w:rPr>
                      <w:sz w:val="20"/>
                      <w:szCs w:val="20"/>
                    </w:rPr>
                    <w:t>Donošenje odluke o prisilnoj naplati potraživanja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58952" w14:textId="77777777" w:rsidR="00DD1F94" w:rsidRPr="00874120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0AE1FE96" w14:textId="77777777" w:rsidR="00DD1F94" w:rsidRPr="00874120" w:rsidRDefault="00BF1D2B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Ravnatelj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07445" w14:textId="77777777" w:rsidR="00DD1F94" w:rsidRPr="00874120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74120">
                    <w:rPr>
                      <w:sz w:val="20"/>
                      <w:szCs w:val="20"/>
                    </w:rPr>
                    <w:t>Odluka o prisilnoj naplati potraživanja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A94240" w14:textId="77777777" w:rsidR="00DD1F94" w:rsidRPr="00874120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74120"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DD1F94" w14:paraId="5E1D1DE9" w14:textId="77777777" w:rsidTr="0085072A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28040" w14:textId="77777777" w:rsidR="00DD1F94" w:rsidRPr="00874120" w:rsidRDefault="00DD1F94" w:rsidP="00D23A6F">
                  <w:pPr>
                    <w:rPr>
                      <w:sz w:val="20"/>
                      <w:szCs w:val="20"/>
                    </w:rPr>
                  </w:pPr>
                  <w:r w:rsidRPr="00874120">
                    <w:rPr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F21A5" w14:textId="77777777" w:rsidR="00DD1F94" w:rsidRPr="00874120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74120">
                    <w:rPr>
                      <w:sz w:val="20"/>
                      <w:szCs w:val="20"/>
                    </w:rPr>
                    <w:t>Ovrha- prisilna naplata potraživanja u skladu s Ovršnim zakonom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4A7D4C" w14:textId="77777777" w:rsidR="00DD1F94" w:rsidRPr="00874120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77B5BBF3" w14:textId="77777777" w:rsidR="00DD1F94" w:rsidRPr="00874120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74120">
                    <w:rPr>
                      <w:sz w:val="20"/>
                      <w:szCs w:val="20"/>
                    </w:rPr>
                    <w:t>Tajništvo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85656" w14:textId="77777777" w:rsidR="00DD1F94" w:rsidRPr="00874120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74120">
                    <w:rPr>
                      <w:sz w:val="20"/>
                      <w:szCs w:val="20"/>
                    </w:rPr>
                    <w:t>Ovršni postupak kod javnog bilježnika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4DADC" w14:textId="77777777" w:rsidR="00DD1F94" w:rsidRPr="00874120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74120">
                    <w:rPr>
                      <w:sz w:val="20"/>
                      <w:szCs w:val="20"/>
                    </w:rPr>
                    <w:t>15 dana nakon donošenja Odluke</w:t>
                  </w:r>
                </w:p>
              </w:tc>
            </w:tr>
          </w:tbl>
          <w:p w14:paraId="1E115461" w14:textId="77777777" w:rsidR="00DD1F94" w:rsidRPr="009573D4" w:rsidRDefault="00DD1F94" w:rsidP="00D23A6F"/>
        </w:tc>
      </w:tr>
    </w:tbl>
    <w:p w14:paraId="1470FD2D" w14:textId="77777777" w:rsidR="00EC2F51" w:rsidRDefault="00EC2F51" w:rsidP="00555D93">
      <w:pPr>
        <w:jc w:val="center"/>
      </w:pPr>
    </w:p>
    <w:p w14:paraId="4DAD71AD" w14:textId="77777777" w:rsidR="00CC0AF3" w:rsidRDefault="00CC0AF3" w:rsidP="00555D93">
      <w:pPr>
        <w:jc w:val="center"/>
      </w:pPr>
    </w:p>
    <w:p w14:paraId="11EEDAE2" w14:textId="77777777" w:rsidR="00CC0AF3" w:rsidRDefault="00CC0AF3" w:rsidP="00555D93">
      <w:pPr>
        <w:jc w:val="center"/>
      </w:pPr>
    </w:p>
    <w:p w14:paraId="134FCC32" w14:textId="77777777" w:rsidR="00DD1F94" w:rsidRDefault="00DD1F94" w:rsidP="00555D93">
      <w:pPr>
        <w:jc w:val="center"/>
      </w:pPr>
      <w:r>
        <w:lastRenderedPageBreak/>
        <w:t>Članak 3.</w:t>
      </w:r>
    </w:p>
    <w:p w14:paraId="77596790" w14:textId="77777777" w:rsidR="00DD1F94" w:rsidRDefault="00DD1F94" w:rsidP="00555D93">
      <w:pPr>
        <w:jc w:val="center"/>
      </w:pPr>
    </w:p>
    <w:p w14:paraId="3BE6F181" w14:textId="77777777" w:rsidR="00DD1F94" w:rsidRDefault="00DD1F94" w:rsidP="00BF7D70">
      <w:pPr>
        <w:jc w:val="both"/>
      </w:pPr>
      <w:r>
        <w:t>Uvodi se redoviti sustav opominjanja po osnovi prihoda koje određeni dužnik ima prema Školi.</w:t>
      </w:r>
      <w:r w:rsidR="00BF68BA">
        <w:t xml:space="preserve"> Pisana opomena se šalje preporučeno s povratnicom.</w:t>
      </w:r>
    </w:p>
    <w:p w14:paraId="25CBB4D0" w14:textId="77777777" w:rsidR="00DD1F94" w:rsidRDefault="00DD1F94" w:rsidP="00BF7D70">
      <w:pPr>
        <w:jc w:val="both"/>
      </w:pPr>
      <w:r>
        <w:t>Tijekom narednih 30 dana</w:t>
      </w:r>
      <w:r w:rsidR="00BF68BA">
        <w:t>, od dana zaprimanja opomene,</w:t>
      </w:r>
      <w:r>
        <w:t xml:space="preserve"> Računovodstvo nadzire naplatu prihoda po opomenama.</w:t>
      </w:r>
    </w:p>
    <w:p w14:paraId="12E445F7" w14:textId="77777777" w:rsidR="00DD1F94" w:rsidRDefault="00DD1F94" w:rsidP="00BF7D70">
      <w:pPr>
        <w:jc w:val="both"/>
      </w:pPr>
    </w:p>
    <w:p w14:paraId="5A5CC342" w14:textId="77777777" w:rsidR="00DD1F94" w:rsidRDefault="00DD1F94" w:rsidP="00555D93">
      <w:pPr>
        <w:jc w:val="center"/>
      </w:pPr>
      <w:r>
        <w:t>Članak 4.</w:t>
      </w:r>
    </w:p>
    <w:p w14:paraId="33BBB376" w14:textId="77777777" w:rsidR="00DD1F94" w:rsidRDefault="00DD1F94" w:rsidP="00555D93">
      <w:pPr>
        <w:jc w:val="center"/>
      </w:pPr>
    </w:p>
    <w:p w14:paraId="42E092B4" w14:textId="77777777" w:rsidR="00680062" w:rsidRDefault="00DD1F94" w:rsidP="00680062">
      <w:pPr>
        <w:jc w:val="both"/>
      </w:pPr>
      <w:r>
        <w:t>Nakon što u roku 30 dana nije plaćen dug za koji je poslana opomena, računovodstvo</w:t>
      </w:r>
      <w:r w:rsidR="00BF1D2B">
        <w:t xml:space="preserve"> </w:t>
      </w:r>
      <w:r w:rsidR="00BF68BA">
        <w:t>šalje opomenu pred tužbu.</w:t>
      </w:r>
      <w:r w:rsidR="00BF68BA" w:rsidRPr="00BF68BA">
        <w:t xml:space="preserve"> </w:t>
      </w:r>
      <w:r w:rsidR="00BF68BA">
        <w:t xml:space="preserve">Tijekom narednih 30 dana, od dana zaprimanja opomene, Računovodstvo nadzire naplatu prihoda po opomenama pred tužbu. Ako dug nije plaćen ni po poslanoj opomeni pred tužbu, računovodstvo </w:t>
      </w:r>
      <w:r w:rsidR="00BF1D2B">
        <w:t>o tome obavještava ravnatelja</w:t>
      </w:r>
      <w:r w:rsidR="00BF68BA">
        <w:t>.</w:t>
      </w:r>
    </w:p>
    <w:p w14:paraId="3C68DF41" w14:textId="77777777" w:rsidR="00680062" w:rsidRDefault="00BF68BA" w:rsidP="00680062">
      <w:pPr>
        <w:jc w:val="both"/>
      </w:pPr>
      <w:r>
        <w:t>Ravnatelj može predložiti da se s pojedinim dužnicima prije samog provođenja ovršnog postupka, sklopi Sporazum o obročnoj otplati duga</w:t>
      </w:r>
      <w:r w:rsidR="003E48DF">
        <w:t xml:space="preserve"> ili ako procjeni da je financijska situacija dužnika izuzetno nepovoljna, upućuje se na traženje jednokratne pomoći kod Osnivača</w:t>
      </w:r>
      <w:r>
        <w:t xml:space="preserve">. </w:t>
      </w:r>
      <w:r w:rsidR="003E48DF">
        <w:t>Ukoliko dužnici ne zatraže jednokratnu pomoć ili ne postupe prema sklopljenom Sporazumu/Ugovoru</w:t>
      </w:r>
      <w:r>
        <w:t xml:space="preserve">, </w:t>
      </w:r>
      <w:r w:rsidR="0033434B">
        <w:t>šalje</w:t>
      </w:r>
      <w:r w:rsidR="003E48DF">
        <w:t xml:space="preserve"> im</w:t>
      </w:r>
      <w:r w:rsidR="0033434B">
        <w:t xml:space="preserve"> se obavijest da će biti prijavljeni Centru za socijalnu skrb. </w:t>
      </w:r>
      <w:r w:rsidR="003E48DF">
        <w:t>Ako</w:t>
      </w:r>
      <w:r w:rsidR="0033434B">
        <w:t xml:space="preserve"> se roditelj ne javi u školu na primljeni dopis, Škola može obavijestit</w:t>
      </w:r>
      <w:r w:rsidR="00CC0AF3">
        <w:t xml:space="preserve">i Centar za socijalnu skrb o nebrizi </w:t>
      </w:r>
      <w:r w:rsidR="0033434B">
        <w:t xml:space="preserve">djeteta i neplaćanju duga za školsku kuhinju. </w:t>
      </w:r>
    </w:p>
    <w:p w14:paraId="1E498E9E" w14:textId="77777777" w:rsidR="0033434B" w:rsidRDefault="0033434B" w:rsidP="00680062">
      <w:pPr>
        <w:jc w:val="both"/>
      </w:pPr>
      <w:r>
        <w:t xml:space="preserve">Kada su iscrpljene sve mogućnosti naplate, </w:t>
      </w:r>
      <w:r w:rsidR="00BF68BA">
        <w:t>ravnatelj</w:t>
      </w:r>
      <w:r w:rsidR="00DD1F94">
        <w:t xml:space="preserve"> donosi Odluku o prisilnoj naplati potraživanja te se pokreće ovršni postupak kod javnog bilježnika.</w:t>
      </w:r>
      <w:r w:rsidR="003E48DF">
        <w:t xml:space="preserve"> </w:t>
      </w:r>
    </w:p>
    <w:p w14:paraId="06F0FA40" w14:textId="77777777" w:rsidR="00EC2F51" w:rsidRDefault="00DD1F94" w:rsidP="00BF7D70">
      <w:pPr>
        <w:jc w:val="both"/>
      </w:pPr>
      <w:r>
        <w:t xml:space="preserve">Ovršni postupak se pokreće za dugovanja u visini većoj od </w:t>
      </w:r>
      <w:r w:rsidR="00BF68BA">
        <w:t>1.0</w:t>
      </w:r>
      <w:r>
        <w:t>00,00 kn po jednom dužniku.</w:t>
      </w:r>
    </w:p>
    <w:p w14:paraId="65BD1B3A" w14:textId="77777777" w:rsidR="003E48DF" w:rsidRDefault="003E48DF" w:rsidP="00BF7D70">
      <w:pPr>
        <w:jc w:val="both"/>
      </w:pPr>
    </w:p>
    <w:p w14:paraId="22CA5FD5" w14:textId="77777777" w:rsidR="00DD1F94" w:rsidRDefault="00DD1F94" w:rsidP="00BF7D70">
      <w:pPr>
        <w:jc w:val="both"/>
      </w:pPr>
      <w:r>
        <w:t>Procedura iz stavka 1. izvodi se po slijedećem postupku:</w:t>
      </w:r>
    </w:p>
    <w:p w14:paraId="48CB2719" w14:textId="77777777" w:rsidR="00DD1F94" w:rsidRDefault="00DD1F94" w:rsidP="00555D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0"/>
        <w:gridCol w:w="2699"/>
        <w:gridCol w:w="2272"/>
        <w:gridCol w:w="1805"/>
        <w:gridCol w:w="1732"/>
      </w:tblGrid>
      <w:tr w:rsidR="00DD1F94" w14:paraId="68296517" w14:textId="77777777" w:rsidTr="0085072A">
        <w:tc>
          <w:tcPr>
            <w:tcW w:w="780" w:type="dxa"/>
          </w:tcPr>
          <w:p w14:paraId="34A7D72E" w14:textId="77777777" w:rsidR="00DD1F94" w:rsidRPr="0085072A" w:rsidRDefault="00DD1F94" w:rsidP="0085072A">
            <w:pPr>
              <w:jc w:val="center"/>
            </w:pPr>
            <w:r w:rsidRPr="0085072A">
              <w:rPr>
                <w:sz w:val="22"/>
                <w:szCs w:val="22"/>
              </w:rPr>
              <w:t>Red. br.</w:t>
            </w:r>
          </w:p>
        </w:tc>
        <w:tc>
          <w:tcPr>
            <w:tcW w:w="2699" w:type="dxa"/>
          </w:tcPr>
          <w:p w14:paraId="25F6C52C" w14:textId="77777777" w:rsidR="00DD1F94" w:rsidRPr="0085072A" w:rsidRDefault="00DD1F94" w:rsidP="0085072A">
            <w:pPr>
              <w:jc w:val="center"/>
            </w:pPr>
          </w:p>
          <w:p w14:paraId="06F6EB13" w14:textId="77777777" w:rsidR="00DD1F94" w:rsidRPr="0085072A" w:rsidRDefault="00DD1F94" w:rsidP="0085072A">
            <w:pPr>
              <w:jc w:val="center"/>
            </w:pPr>
            <w:r w:rsidRPr="0085072A">
              <w:rPr>
                <w:sz w:val="22"/>
                <w:szCs w:val="22"/>
              </w:rPr>
              <w:t>AKTIVNOST</w:t>
            </w:r>
          </w:p>
        </w:tc>
        <w:tc>
          <w:tcPr>
            <w:tcW w:w="2272" w:type="dxa"/>
          </w:tcPr>
          <w:p w14:paraId="49A4F352" w14:textId="77777777" w:rsidR="00DD1F94" w:rsidRPr="0085072A" w:rsidRDefault="00DD1F94" w:rsidP="0085072A">
            <w:pPr>
              <w:jc w:val="center"/>
            </w:pPr>
          </w:p>
          <w:p w14:paraId="58176C33" w14:textId="77777777" w:rsidR="00DD1F94" w:rsidRPr="0085072A" w:rsidRDefault="00DD1F94" w:rsidP="0085072A">
            <w:pPr>
              <w:jc w:val="center"/>
            </w:pPr>
            <w:r w:rsidRPr="0085072A">
              <w:rPr>
                <w:sz w:val="22"/>
                <w:szCs w:val="22"/>
              </w:rPr>
              <w:t>NADLEŽNOST</w:t>
            </w:r>
          </w:p>
        </w:tc>
        <w:tc>
          <w:tcPr>
            <w:tcW w:w="1805" w:type="dxa"/>
          </w:tcPr>
          <w:p w14:paraId="159ED172" w14:textId="77777777" w:rsidR="00DD1F94" w:rsidRPr="0085072A" w:rsidRDefault="00DD1F94" w:rsidP="0085072A">
            <w:pPr>
              <w:jc w:val="center"/>
            </w:pPr>
          </w:p>
          <w:p w14:paraId="08D5D1FE" w14:textId="77777777" w:rsidR="00DD1F94" w:rsidRPr="0085072A" w:rsidRDefault="00DD1F94" w:rsidP="0085072A">
            <w:pPr>
              <w:jc w:val="center"/>
            </w:pPr>
            <w:r w:rsidRPr="0085072A">
              <w:rPr>
                <w:sz w:val="22"/>
                <w:szCs w:val="22"/>
              </w:rPr>
              <w:t>DOKUMENT</w:t>
            </w:r>
          </w:p>
        </w:tc>
        <w:tc>
          <w:tcPr>
            <w:tcW w:w="1732" w:type="dxa"/>
          </w:tcPr>
          <w:p w14:paraId="0DE5AD02" w14:textId="77777777" w:rsidR="00DD1F94" w:rsidRPr="0085072A" w:rsidRDefault="00DD1F94" w:rsidP="0085072A">
            <w:pPr>
              <w:jc w:val="center"/>
            </w:pPr>
          </w:p>
          <w:p w14:paraId="3F2ACDE3" w14:textId="77777777" w:rsidR="00DD1F94" w:rsidRPr="0085072A" w:rsidRDefault="00DD1F94" w:rsidP="0085072A">
            <w:pPr>
              <w:jc w:val="center"/>
            </w:pPr>
            <w:r w:rsidRPr="0085072A">
              <w:rPr>
                <w:sz w:val="22"/>
                <w:szCs w:val="22"/>
              </w:rPr>
              <w:t>ROK</w:t>
            </w:r>
          </w:p>
        </w:tc>
      </w:tr>
      <w:tr w:rsidR="00DD1F94" w14:paraId="693C0B6E" w14:textId="77777777" w:rsidTr="0085072A">
        <w:tc>
          <w:tcPr>
            <w:tcW w:w="780" w:type="dxa"/>
          </w:tcPr>
          <w:p w14:paraId="17180537" w14:textId="77777777" w:rsidR="00DD1F94" w:rsidRPr="0085072A" w:rsidRDefault="00DD1F94" w:rsidP="0085072A">
            <w:pPr>
              <w:jc w:val="center"/>
              <w:rPr>
                <w:sz w:val="18"/>
                <w:szCs w:val="18"/>
              </w:rPr>
            </w:pPr>
            <w:r w:rsidRPr="0085072A">
              <w:rPr>
                <w:sz w:val="18"/>
                <w:szCs w:val="18"/>
              </w:rPr>
              <w:t>1</w:t>
            </w:r>
          </w:p>
        </w:tc>
        <w:tc>
          <w:tcPr>
            <w:tcW w:w="2699" w:type="dxa"/>
          </w:tcPr>
          <w:p w14:paraId="0F8CCB00" w14:textId="77777777" w:rsidR="00DD1F94" w:rsidRPr="0085072A" w:rsidRDefault="00DD1F94" w:rsidP="0085072A">
            <w:pPr>
              <w:jc w:val="center"/>
              <w:rPr>
                <w:sz w:val="18"/>
                <w:szCs w:val="18"/>
              </w:rPr>
            </w:pPr>
            <w:r w:rsidRPr="0085072A">
              <w:rPr>
                <w:sz w:val="18"/>
                <w:szCs w:val="18"/>
              </w:rPr>
              <w:t>2</w:t>
            </w:r>
          </w:p>
        </w:tc>
        <w:tc>
          <w:tcPr>
            <w:tcW w:w="2272" w:type="dxa"/>
          </w:tcPr>
          <w:p w14:paraId="2754856F" w14:textId="77777777" w:rsidR="00DD1F94" w:rsidRPr="0085072A" w:rsidRDefault="00DD1F94" w:rsidP="0085072A">
            <w:pPr>
              <w:jc w:val="center"/>
              <w:rPr>
                <w:sz w:val="18"/>
                <w:szCs w:val="18"/>
              </w:rPr>
            </w:pPr>
            <w:r w:rsidRPr="0085072A">
              <w:rPr>
                <w:sz w:val="18"/>
                <w:szCs w:val="18"/>
              </w:rPr>
              <w:t>3</w:t>
            </w:r>
          </w:p>
        </w:tc>
        <w:tc>
          <w:tcPr>
            <w:tcW w:w="1805" w:type="dxa"/>
          </w:tcPr>
          <w:p w14:paraId="708FC345" w14:textId="77777777" w:rsidR="00DD1F94" w:rsidRPr="0085072A" w:rsidRDefault="00DD1F94" w:rsidP="0085072A">
            <w:pPr>
              <w:jc w:val="center"/>
              <w:rPr>
                <w:sz w:val="18"/>
                <w:szCs w:val="18"/>
              </w:rPr>
            </w:pPr>
            <w:r w:rsidRPr="0085072A">
              <w:rPr>
                <w:sz w:val="18"/>
                <w:szCs w:val="18"/>
              </w:rPr>
              <w:t>4</w:t>
            </w:r>
          </w:p>
        </w:tc>
        <w:tc>
          <w:tcPr>
            <w:tcW w:w="1732" w:type="dxa"/>
          </w:tcPr>
          <w:p w14:paraId="56432700" w14:textId="77777777" w:rsidR="00DD1F94" w:rsidRPr="0085072A" w:rsidRDefault="00DD1F94" w:rsidP="0085072A">
            <w:pPr>
              <w:jc w:val="center"/>
              <w:rPr>
                <w:sz w:val="18"/>
                <w:szCs w:val="18"/>
              </w:rPr>
            </w:pPr>
            <w:r w:rsidRPr="0085072A">
              <w:rPr>
                <w:sz w:val="18"/>
                <w:szCs w:val="18"/>
              </w:rPr>
              <w:t>5</w:t>
            </w:r>
          </w:p>
        </w:tc>
      </w:tr>
      <w:tr w:rsidR="00DD1F94" w14:paraId="518E3777" w14:textId="77777777" w:rsidTr="0085072A">
        <w:tc>
          <w:tcPr>
            <w:tcW w:w="780" w:type="dxa"/>
          </w:tcPr>
          <w:p w14:paraId="3F8F7266" w14:textId="77777777" w:rsidR="00DD1F94" w:rsidRDefault="00DD1F94" w:rsidP="0085072A">
            <w:pPr>
              <w:jc w:val="center"/>
            </w:pPr>
          </w:p>
          <w:p w14:paraId="7D247B0F" w14:textId="77777777" w:rsidR="00DD1F94" w:rsidRPr="0085072A" w:rsidRDefault="00DD1F94" w:rsidP="0085072A">
            <w:pPr>
              <w:jc w:val="center"/>
            </w:pPr>
            <w:r w:rsidRPr="0085072A">
              <w:rPr>
                <w:sz w:val="22"/>
                <w:szCs w:val="22"/>
              </w:rPr>
              <w:t>1.</w:t>
            </w:r>
          </w:p>
        </w:tc>
        <w:tc>
          <w:tcPr>
            <w:tcW w:w="2699" w:type="dxa"/>
          </w:tcPr>
          <w:p w14:paraId="7B91DDA4" w14:textId="77777777"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  <w:r w:rsidRPr="0085072A">
              <w:rPr>
                <w:sz w:val="20"/>
                <w:szCs w:val="20"/>
              </w:rPr>
              <w:t>Utvrđivanje knjigovodstvenog stanja dužnika/prikupljanje podataka o poslovnom računu ili imovinskog stanju</w:t>
            </w:r>
          </w:p>
        </w:tc>
        <w:tc>
          <w:tcPr>
            <w:tcW w:w="2272" w:type="dxa"/>
          </w:tcPr>
          <w:p w14:paraId="25F0CBB3" w14:textId="77777777"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</w:p>
          <w:p w14:paraId="21C353E4" w14:textId="77777777"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  <w:r w:rsidRPr="0085072A">
              <w:rPr>
                <w:sz w:val="20"/>
                <w:szCs w:val="20"/>
              </w:rPr>
              <w:t>Računovodstvo</w:t>
            </w:r>
          </w:p>
        </w:tc>
        <w:tc>
          <w:tcPr>
            <w:tcW w:w="1805" w:type="dxa"/>
          </w:tcPr>
          <w:p w14:paraId="5D761EB4" w14:textId="77777777" w:rsidR="00DD1F94" w:rsidRDefault="00DD1F94" w:rsidP="0085072A">
            <w:pPr>
              <w:jc w:val="center"/>
              <w:rPr>
                <w:sz w:val="20"/>
                <w:szCs w:val="20"/>
              </w:rPr>
            </w:pPr>
          </w:p>
          <w:p w14:paraId="1784C72B" w14:textId="77777777"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  <w:r w:rsidRPr="0085072A">
              <w:rPr>
                <w:sz w:val="20"/>
                <w:szCs w:val="20"/>
              </w:rPr>
              <w:t>Analitičke kartice poslovnih partnera</w:t>
            </w:r>
          </w:p>
        </w:tc>
        <w:tc>
          <w:tcPr>
            <w:tcW w:w="1732" w:type="dxa"/>
          </w:tcPr>
          <w:p w14:paraId="5BD9860D" w14:textId="77777777" w:rsidR="00DD1F94" w:rsidRDefault="00DD1F94" w:rsidP="0085072A">
            <w:pPr>
              <w:jc w:val="center"/>
              <w:rPr>
                <w:sz w:val="20"/>
                <w:szCs w:val="20"/>
              </w:rPr>
            </w:pPr>
          </w:p>
          <w:p w14:paraId="42F87ADD" w14:textId="77777777"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  <w:r w:rsidRPr="0085072A">
              <w:rPr>
                <w:sz w:val="20"/>
                <w:szCs w:val="20"/>
              </w:rPr>
              <w:t>Prije zastare potraživanja</w:t>
            </w:r>
          </w:p>
        </w:tc>
      </w:tr>
      <w:tr w:rsidR="00DD1F94" w14:paraId="4A9F94F4" w14:textId="77777777" w:rsidTr="0085072A">
        <w:tc>
          <w:tcPr>
            <w:tcW w:w="780" w:type="dxa"/>
          </w:tcPr>
          <w:p w14:paraId="57F2BF7F" w14:textId="77777777" w:rsidR="00DD1F94" w:rsidRPr="0085072A" w:rsidRDefault="00DD1F94" w:rsidP="0085072A">
            <w:pPr>
              <w:jc w:val="center"/>
            </w:pPr>
          </w:p>
          <w:p w14:paraId="16A9613A" w14:textId="77777777" w:rsidR="00DD1F94" w:rsidRPr="0085072A" w:rsidRDefault="00DD1F94" w:rsidP="0085072A">
            <w:pPr>
              <w:jc w:val="center"/>
            </w:pPr>
            <w:r w:rsidRPr="0085072A">
              <w:rPr>
                <w:sz w:val="22"/>
                <w:szCs w:val="22"/>
              </w:rPr>
              <w:t>2.</w:t>
            </w:r>
          </w:p>
        </w:tc>
        <w:tc>
          <w:tcPr>
            <w:tcW w:w="2699" w:type="dxa"/>
          </w:tcPr>
          <w:p w14:paraId="7B03ABBC" w14:textId="77777777"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</w:p>
          <w:p w14:paraId="56E037F1" w14:textId="77777777"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  <w:r w:rsidRPr="0085072A">
              <w:rPr>
                <w:sz w:val="20"/>
                <w:szCs w:val="20"/>
              </w:rPr>
              <w:t>Prikupljanje dokumentacije za ovršni postupak</w:t>
            </w:r>
          </w:p>
        </w:tc>
        <w:tc>
          <w:tcPr>
            <w:tcW w:w="2272" w:type="dxa"/>
          </w:tcPr>
          <w:p w14:paraId="72CF0113" w14:textId="77777777"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</w:p>
          <w:p w14:paraId="0A691EA8" w14:textId="77777777"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</w:p>
          <w:p w14:paraId="7DC9C41B" w14:textId="77777777"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  <w:r w:rsidRPr="0085072A">
              <w:rPr>
                <w:sz w:val="20"/>
                <w:szCs w:val="20"/>
              </w:rPr>
              <w:t>Računovodstvo/Tajništvo</w:t>
            </w:r>
          </w:p>
        </w:tc>
        <w:tc>
          <w:tcPr>
            <w:tcW w:w="1805" w:type="dxa"/>
          </w:tcPr>
          <w:p w14:paraId="40753F0A" w14:textId="77777777" w:rsidR="00DD1F94" w:rsidRPr="0085072A" w:rsidRDefault="00DD1F94" w:rsidP="00C12B0B">
            <w:pPr>
              <w:rPr>
                <w:sz w:val="20"/>
                <w:szCs w:val="20"/>
              </w:rPr>
            </w:pPr>
            <w:r w:rsidRPr="0085072A">
              <w:rPr>
                <w:sz w:val="20"/>
                <w:szCs w:val="20"/>
              </w:rPr>
              <w:t>Analitičke kartice poslovnih partnera/obračun kamata/opomena s povratnicom</w:t>
            </w:r>
          </w:p>
        </w:tc>
        <w:tc>
          <w:tcPr>
            <w:tcW w:w="1732" w:type="dxa"/>
          </w:tcPr>
          <w:p w14:paraId="6D002697" w14:textId="77777777" w:rsidR="00DD1F94" w:rsidRDefault="00DD1F94" w:rsidP="0085072A">
            <w:pPr>
              <w:jc w:val="center"/>
              <w:rPr>
                <w:sz w:val="20"/>
                <w:szCs w:val="20"/>
              </w:rPr>
            </w:pPr>
          </w:p>
          <w:p w14:paraId="39D56565" w14:textId="77777777"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  <w:r w:rsidRPr="0085072A">
              <w:rPr>
                <w:sz w:val="20"/>
                <w:szCs w:val="20"/>
              </w:rPr>
              <w:t>Prije zastare potraživanja</w:t>
            </w:r>
          </w:p>
        </w:tc>
      </w:tr>
      <w:tr w:rsidR="00DD1F94" w14:paraId="1CC9D095" w14:textId="77777777" w:rsidTr="0085072A">
        <w:tc>
          <w:tcPr>
            <w:tcW w:w="780" w:type="dxa"/>
          </w:tcPr>
          <w:p w14:paraId="6722367F" w14:textId="77777777" w:rsidR="00DD1F94" w:rsidRPr="0085072A" w:rsidRDefault="00DD1F94" w:rsidP="0085072A">
            <w:pPr>
              <w:jc w:val="center"/>
            </w:pPr>
          </w:p>
          <w:p w14:paraId="26918885" w14:textId="77777777" w:rsidR="00DD1F94" w:rsidRPr="0085072A" w:rsidRDefault="00DD1F94" w:rsidP="0085072A">
            <w:pPr>
              <w:jc w:val="center"/>
            </w:pPr>
            <w:r w:rsidRPr="0085072A">
              <w:rPr>
                <w:sz w:val="22"/>
                <w:szCs w:val="22"/>
              </w:rPr>
              <w:t>3.</w:t>
            </w:r>
          </w:p>
        </w:tc>
        <w:tc>
          <w:tcPr>
            <w:tcW w:w="2699" w:type="dxa"/>
          </w:tcPr>
          <w:p w14:paraId="382F1CC0" w14:textId="77777777"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</w:p>
          <w:p w14:paraId="026EC1B4" w14:textId="77777777"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  <w:r w:rsidRPr="0085072A">
              <w:rPr>
                <w:sz w:val="20"/>
                <w:szCs w:val="20"/>
              </w:rPr>
              <w:t>Izrada prijedloga za ovrhu</w:t>
            </w:r>
          </w:p>
        </w:tc>
        <w:tc>
          <w:tcPr>
            <w:tcW w:w="2272" w:type="dxa"/>
          </w:tcPr>
          <w:p w14:paraId="6E09C299" w14:textId="77777777"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</w:p>
          <w:p w14:paraId="077B47DF" w14:textId="77777777"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  <w:r w:rsidRPr="0085072A">
              <w:rPr>
                <w:sz w:val="20"/>
                <w:szCs w:val="20"/>
              </w:rPr>
              <w:t>Računovodstvo/Tajništvo</w:t>
            </w:r>
          </w:p>
        </w:tc>
        <w:tc>
          <w:tcPr>
            <w:tcW w:w="1805" w:type="dxa"/>
          </w:tcPr>
          <w:p w14:paraId="1F80E9CA" w14:textId="77777777"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  <w:r w:rsidRPr="0085072A">
              <w:rPr>
                <w:sz w:val="20"/>
                <w:szCs w:val="20"/>
              </w:rPr>
              <w:t>Nacrt prijedloga za ovrhu Općinskom sudu ili javnom bilježniku</w:t>
            </w:r>
          </w:p>
        </w:tc>
        <w:tc>
          <w:tcPr>
            <w:tcW w:w="1732" w:type="dxa"/>
          </w:tcPr>
          <w:p w14:paraId="2F95B191" w14:textId="77777777"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  <w:r w:rsidRPr="0085072A">
              <w:rPr>
                <w:sz w:val="20"/>
                <w:szCs w:val="20"/>
              </w:rPr>
              <w:t>Najkasnije dva dana od pokretanja postupka</w:t>
            </w:r>
          </w:p>
        </w:tc>
      </w:tr>
      <w:tr w:rsidR="00DD1F94" w14:paraId="69B602E5" w14:textId="77777777" w:rsidTr="0085072A">
        <w:tc>
          <w:tcPr>
            <w:tcW w:w="780" w:type="dxa"/>
          </w:tcPr>
          <w:p w14:paraId="0553B3DB" w14:textId="77777777" w:rsidR="00DD1F94" w:rsidRPr="0085072A" w:rsidRDefault="00DD1F94" w:rsidP="0085072A">
            <w:pPr>
              <w:jc w:val="center"/>
            </w:pPr>
          </w:p>
          <w:p w14:paraId="77279639" w14:textId="77777777" w:rsidR="00DD1F94" w:rsidRPr="0085072A" w:rsidRDefault="00DD1F94" w:rsidP="0085072A">
            <w:pPr>
              <w:jc w:val="center"/>
            </w:pPr>
            <w:r w:rsidRPr="0085072A">
              <w:rPr>
                <w:sz w:val="22"/>
                <w:szCs w:val="22"/>
              </w:rPr>
              <w:t>4.</w:t>
            </w:r>
          </w:p>
        </w:tc>
        <w:tc>
          <w:tcPr>
            <w:tcW w:w="2699" w:type="dxa"/>
          </w:tcPr>
          <w:p w14:paraId="44BAF55A" w14:textId="77777777"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</w:p>
          <w:p w14:paraId="53636638" w14:textId="77777777"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  <w:r w:rsidRPr="0085072A">
              <w:rPr>
                <w:sz w:val="20"/>
                <w:szCs w:val="20"/>
              </w:rPr>
              <w:t>Ovjera i potpis prijedloga za ovrhu</w:t>
            </w:r>
          </w:p>
        </w:tc>
        <w:tc>
          <w:tcPr>
            <w:tcW w:w="2272" w:type="dxa"/>
          </w:tcPr>
          <w:p w14:paraId="27555B18" w14:textId="77777777"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</w:p>
          <w:p w14:paraId="10947F03" w14:textId="77777777"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  <w:r w:rsidRPr="0085072A">
              <w:rPr>
                <w:sz w:val="20"/>
                <w:szCs w:val="20"/>
              </w:rPr>
              <w:t>Ravnatelj</w:t>
            </w:r>
          </w:p>
        </w:tc>
        <w:tc>
          <w:tcPr>
            <w:tcW w:w="1805" w:type="dxa"/>
          </w:tcPr>
          <w:p w14:paraId="2BD96105" w14:textId="77777777" w:rsidR="00DD1F94" w:rsidRDefault="00DD1F94" w:rsidP="0085072A">
            <w:pPr>
              <w:jc w:val="center"/>
              <w:rPr>
                <w:sz w:val="20"/>
                <w:szCs w:val="20"/>
              </w:rPr>
            </w:pPr>
          </w:p>
          <w:p w14:paraId="4D6BC8DE" w14:textId="77777777"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  <w:r w:rsidRPr="0085072A">
              <w:rPr>
                <w:sz w:val="20"/>
                <w:szCs w:val="20"/>
              </w:rPr>
              <w:t>Prijedlog za ovrhu Općinskom sudu ili javnom bilježniku</w:t>
            </w:r>
          </w:p>
        </w:tc>
        <w:tc>
          <w:tcPr>
            <w:tcW w:w="1732" w:type="dxa"/>
          </w:tcPr>
          <w:p w14:paraId="3B05D480" w14:textId="77777777"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  <w:r w:rsidRPr="0085072A">
              <w:rPr>
                <w:sz w:val="20"/>
                <w:szCs w:val="20"/>
              </w:rPr>
              <w:t>Najkasnije dva dana od pokretanja postupka</w:t>
            </w:r>
          </w:p>
        </w:tc>
      </w:tr>
      <w:tr w:rsidR="00DD1F94" w14:paraId="5977D49D" w14:textId="77777777" w:rsidTr="0085072A">
        <w:tc>
          <w:tcPr>
            <w:tcW w:w="780" w:type="dxa"/>
          </w:tcPr>
          <w:p w14:paraId="069A0794" w14:textId="77777777" w:rsidR="00DD1F94" w:rsidRPr="0085072A" w:rsidRDefault="00DD1F94" w:rsidP="0085072A">
            <w:pPr>
              <w:jc w:val="center"/>
            </w:pPr>
            <w:r w:rsidRPr="0085072A">
              <w:rPr>
                <w:sz w:val="22"/>
                <w:szCs w:val="22"/>
              </w:rPr>
              <w:t>5.</w:t>
            </w:r>
          </w:p>
        </w:tc>
        <w:tc>
          <w:tcPr>
            <w:tcW w:w="2699" w:type="dxa"/>
          </w:tcPr>
          <w:p w14:paraId="5E2159F5" w14:textId="77777777"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  <w:r w:rsidRPr="0085072A">
              <w:rPr>
                <w:sz w:val="20"/>
                <w:szCs w:val="20"/>
              </w:rPr>
              <w:t>Dostava prijedloga za ovrhu Općinskom sudu ili javnom bilježniku</w:t>
            </w:r>
          </w:p>
        </w:tc>
        <w:tc>
          <w:tcPr>
            <w:tcW w:w="2272" w:type="dxa"/>
          </w:tcPr>
          <w:p w14:paraId="4084F7C0" w14:textId="77777777"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</w:p>
          <w:p w14:paraId="4821623B" w14:textId="77777777"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  <w:r w:rsidRPr="0085072A">
              <w:rPr>
                <w:sz w:val="20"/>
                <w:szCs w:val="20"/>
              </w:rPr>
              <w:t>Tajništvo</w:t>
            </w:r>
          </w:p>
        </w:tc>
        <w:tc>
          <w:tcPr>
            <w:tcW w:w="1805" w:type="dxa"/>
          </w:tcPr>
          <w:p w14:paraId="43C25756" w14:textId="77777777" w:rsidR="00DD1F94" w:rsidRDefault="00DD1F94" w:rsidP="0085072A">
            <w:pPr>
              <w:jc w:val="center"/>
              <w:rPr>
                <w:sz w:val="20"/>
                <w:szCs w:val="20"/>
              </w:rPr>
            </w:pPr>
          </w:p>
          <w:p w14:paraId="119D5949" w14:textId="77777777"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  <w:r w:rsidRPr="0085072A">
              <w:rPr>
                <w:sz w:val="20"/>
                <w:szCs w:val="20"/>
              </w:rPr>
              <w:t>Knjiga izlazne pošte</w:t>
            </w:r>
          </w:p>
        </w:tc>
        <w:tc>
          <w:tcPr>
            <w:tcW w:w="1732" w:type="dxa"/>
          </w:tcPr>
          <w:p w14:paraId="5C76ED3B" w14:textId="77777777"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  <w:r w:rsidRPr="0085072A">
              <w:rPr>
                <w:sz w:val="20"/>
                <w:szCs w:val="20"/>
              </w:rPr>
              <w:t>Najkasnije dva dana od izrade prijedloga</w:t>
            </w:r>
          </w:p>
        </w:tc>
      </w:tr>
      <w:tr w:rsidR="00DD1F94" w14:paraId="499D82C3" w14:textId="77777777" w:rsidTr="0085072A">
        <w:tc>
          <w:tcPr>
            <w:tcW w:w="780" w:type="dxa"/>
          </w:tcPr>
          <w:p w14:paraId="65245F41" w14:textId="77777777" w:rsidR="00DD1F94" w:rsidRPr="0085072A" w:rsidRDefault="00DD1F94" w:rsidP="0085072A">
            <w:pPr>
              <w:jc w:val="center"/>
            </w:pPr>
          </w:p>
          <w:p w14:paraId="3F6720BF" w14:textId="77777777" w:rsidR="00DD1F94" w:rsidRPr="0085072A" w:rsidRDefault="00DD1F94" w:rsidP="0085072A">
            <w:pPr>
              <w:jc w:val="center"/>
            </w:pPr>
            <w:r w:rsidRPr="0085072A">
              <w:rPr>
                <w:sz w:val="22"/>
                <w:szCs w:val="22"/>
              </w:rPr>
              <w:t>6.</w:t>
            </w:r>
          </w:p>
        </w:tc>
        <w:tc>
          <w:tcPr>
            <w:tcW w:w="2699" w:type="dxa"/>
          </w:tcPr>
          <w:p w14:paraId="72601AF2" w14:textId="77777777"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</w:p>
          <w:p w14:paraId="6BF6B4C4" w14:textId="77777777"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  <w:r w:rsidRPr="0085072A">
              <w:rPr>
                <w:sz w:val="20"/>
                <w:szCs w:val="20"/>
              </w:rPr>
              <w:t>Dostava pravomoćnih rješenja o ovrsi FINI</w:t>
            </w:r>
          </w:p>
        </w:tc>
        <w:tc>
          <w:tcPr>
            <w:tcW w:w="2272" w:type="dxa"/>
          </w:tcPr>
          <w:p w14:paraId="7281B0F8" w14:textId="77777777"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</w:p>
          <w:p w14:paraId="746F1E57" w14:textId="77777777"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  <w:r w:rsidRPr="0085072A">
              <w:rPr>
                <w:sz w:val="20"/>
                <w:szCs w:val="20"/>
              </w:rPr>
              <w:t>Tajništvo</w:t>
            </w:r>
          </w:p>
        </w:tc>
        <w:tc>
          <w:tcPr>
            <w:tcW w:w="1805" w:type="dxa"/>
          </w:tcPr>
          <w:p w14:paraId="65EBE05F" w14:textId="77777777" w:rsidR="00DD1F94" w:rsidRDefault="00DD1F94" w:rsidP="0085072A">
            <w:pPr>
              <w:jc w:val="center"/>
              <w:rPr>
                <w:sz w:val="20"/>
                <w:szCs w:val="20"/>
              </w:rPr>
            </w:pPr>
          </w:p>
          <w:p w14:paraId="250B8497" w14:textId="77777777"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  <w:r w:rsidRPr="0085072A">
              <w:rPr>
                <w:sz w:val="20"/>
                <w:szCs w:val="20"/>
              </w:rPr>
              <w:t>Pravomoćno rješenje</w:t>
            </w:r>
          </w:p>
        </w:tc>
        <w:tc>
          <w:tcPr>
            <w:tcW w:w="1732" w:type="dxa"/>
          </w:tcPr>
          <w:p w14:paraId="45EA53CC" w14:textId="77777777"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  <w:r w:rsidRPr="0085072A">
              <w:rPr>
                <w:sz w:val="20"/>
                <w:szCs w:val="20"/>
              </w:rPr>
              <w:t>Najkasnije dva dana od primitka pravomoćnih rješenja</w:t>
            </w:r>
          </w:p>
        </w:tc>
      </w:tr>
    </w:tbl>
    <w:p w14:paraId="3AAE61E2" w14:textId="77777777" w:rsidR="00DD1F94" w:rsidRDefault="00DD1F94" w:rsidP="00555D93"/>
    <w:p w14:paraId="4EEDFC48" w14:textId="77777777" w:rsidR="0033434B" w:rsidRDefault="0033434B" w:rsidP="0033434B">
      <w:pPr>
        <w:jc w:val="both"/>
      </w:pPr>
      <w:r>
        <w:t xml:space="preserve">Ukoliko se ispostavi da za pojedinog roditelja ne postoji naplata niti preko ovrhe jer je financijska situacija u obitelji takva da je </w:t>
      </w:r>
      <w:proofErr w:type="spellStart"/>
      <w:r>
        <w:t>izledna</w:t>
      </w:r>
      <w:proofErr w:type="spellEnd"/>
      <w:r>
        <w:t xml:space="preserve"> nemogućnost naplate, ravnatelj može </w:t>
      </w:r>
      <w:r w:rsidR="003E48DF">
        <w:t xml:space="preserve">neovisno o iznosu duga, </w:t>
      </w:r>
      <w:r>
        <w:t>predložiti Školskom odboru prijedlog za otpis duga.</w:t>
      </w:r>
    </w:p>
    <w:p w14:paraId="1AF4468D" w14:textId="77777777" w:rsidR="00680062" w:rsidRDefault="00680062" w:rsidP="0033434B">
      <w:pPr>
        <w:jc w:val="both"/>
      </w:pPr>
    </w:p>
    <w:p w14:paraId="28435462" w14:textId="77777777" w:rsidR="0033434B" w:rsidRDefault="0033434B" w:rsidP="0033434B">
      <w:pPr>
        <w:jc w:val="both"/>
      </w:pPr>
    </w:p>
    <w:p w14:paraId="3A09002E" w14:textId="77777777" w:rsidR="006242AD" w:rsidRDefault="006242AD" w:rsidP="00C15762">
      <w:pPr>
        <w:jc w:val="center"/>
      </w:pPr>
      <w:r>
        <w:t>Članak 5.</w:t>
      </w:r>
    </w:p>
    <w:p w14:paraId="0658B09E" w14:textId="77777777" w:rsidR="006242AD" w:rsidRDefault="006242AD" w:rsidP="00555D93"/>
    <w:p w14:paraId="137C50F4" w14:textId="77777777" w:rsidR="00C15762" w:rsidRDefault="006242AD" w:rsidP="006242AD">
      <w:pPr>
        <w:jc w:val="both"/>
      </w:pPr>
      <w:r>
        <w:t>U sklopu ove procedure uvode se posebne obveze razrednika glede naplate duga za školsku kuhinju</w:t>
      </w:r>
      <w:r w:rsidR="00C15762">
        <w:t>, a sve u cilju uspješnije naplate potraživanja.</w:t>
      </w:r>
    </w:p>
    <w:p w14:paraId="233A52EB" w14:textId="77777777" w:rsidR="006242AD" w:rsidRDefault="006242AD" w:rsidP="006242AD">
      <w:pPr>
        <w:jc w:val="both"/>
      </w:pPr>
      <w:r>
        <w:t>Obveza razrednika je da</w:t>
      </w:r>
      <w:r w:rsidR="00EB1C2B">
        <w:t xml:space="preserve"> vodi evidenciju uplata </w:t>
      </w:r>
      <w:r>
        <w:t xml:space="preserve">za školsku kuhinju na način da svaki roditelj dostavi uplatnicu </w:t>
      </w:r>
      <w:r w:rsidR="00302366">
        <w:t xml:space="preserve">na uvid </w:t>
      </w:r>
      <w:r>
        <w:t>kao dokaz da je školska kuhinja plaćena</w:t>
      </w:r>
      <w:r w:rsidR="00C15762">
        <w:t xml:space="preserve"> (može ju dostaviti osobno, preko djeteta ili mailom)</w:t>
      </w:r>
      <w:r>
        <w:t>.</w:t>
      </w:r>
      <w:r w:rsidR="00EB1C2B">
        <w:t xml:space="preserve"> Evidencija </w:t>
      </w:r>
      <w:r w:rsidR="00FF445A">
        <w:t xml:space="preserve">o naplati duga </w:t>
      </w:r>
      <w:r w:rsidR="00EB1C2B">
        <w:t>mora biti napravljena za svaki mjesec posebno.</w:t>
      </w:r>
      <w:r>
        <w:t xml:space="preserve"> Ukoliko uplatnicu ne dostavi </w:t>
      </w:r>
      <w:r w:rsidR="00CC0AF3">
        <w:t xml:space="preserve">na uvid </w:t>
      </w:r>
      <w:r>
        <w:t>do roka dospijeća valute za plaćanje, usmenim ili pismenim putem (putem mail</w:t>
      </w:r>
      <w:r w:rsidR="00C15762">
        <w:t>-</w:t>
      </w:r>
      <w:r>
        <w:t xml:space="preserve">a ili SMS poruke) </w:t>
      </w:r>
      <w:r w:rsidR="00C15762">
        <w:t xml:space="preserve">razrednik </w:t>
      </w:r>
      <w:r>
        <w:t>je dužan obavijestiti roditelja da dug za prethodni mjesec nije podmiren</w:t>
      </w:r>
      <w:r w:rsidR="00EB1C2B">
        <w:t xml:space="preserve"> i opomenuti ga da plati dug u što kraćem roku</w:t>
      </w:r>
      <w:r>
        <w:t xml:space="preserve">. </w:t>
      </w:r>
    </w:p>
    <w:p w14:paraId="0F8BD6A5" w14:textId="77777777" w:rsidR="006242AD" w:rsidRDefault="006242AD" w:rsidP="006242AD">
      <w:pPr>
        <w:jc w:val="center"/>
      </w:pPr>
    </w:p>
    <w:p w14:paraId="02B6202F" w14:textId="77777777" w:rsidR="006242AD" w:rsidRDefault="006242AD" w:rsidP="00555D93"/>
    <w:p w14:paraId="1FFD4CF2" w14:textId="77777777" w:rsidR="00DD1F94" w:rsidRDefault="006242AD" w:rsidP="00FB5C19">
      <w:pPr>
        <w:jc w:val="center"/>
      </w:pPr>
      <w:r>
        <w:t>Članak 6</w:t>
      </w:r>
      <w:r w:rsidR="00DD1F94">
        <w:t>.</w:t>
      </w:r>
    </w:p>
    <w:p w14:paraId="537D974A" w14:textId="77777777" w:rsidR="00DD1F94" w:rsidRPr="00302366" w:rsidRDefault="00DD1F94" w:rsidP="00EF462F">
      <w:pPr>
        <w:jc w:val="both"/>
      </w:pPr>
    </w:p>
    <w:p w14:paraId="1421C548" w14:textId="77777777" w:rsidR="009E07B1" w:rsidRPr="00CB478D" w:rsidRDefault="009E07B1" w:rsidP="009E07B1">
      <w:pPr>
        <w:jc w:val="both"/>
      </w:pPr>
      <w:r w:rsidRPr="00CB478D">
        <w:t>Ova procedura stupa na snagu danom donošenja, a objavit će se na oglasnoj ploči i web stranici škole www.os-braca-radic-koprivnica.skole.hr</w:t>
      </w:r>
      <w:r>
        <w:t>.</w:t>
      </w:r>
    </w:p>
    <w:p w14:paraId="6E9A1500" w14:textId="77777777" w:rsidR="0026537A" w:rsidRDefault="00DD1F94" w:rsidP="0026537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248388" w14:textId="77777777" w:rsidR="0026537A" w:rsidRDefault="0026537A" w:rsidP="00FB5C19"/>
    <w:p w14:paraId="1BD6CCDA" w14:textId="77777777" w:rsidR="0026537A" w:rsidRDefault="0026537A" w:rsidP="00FB5C19">
      <w:r>
        <w:t>U Koprivnici, 31.10.2018.</w:t>
      </w:r>
    </w:p>
    <w:p w14:paraId="1A7D95DF" w14:textId="77777777" w:rsidR="00107112" w:rsidRDefault="00107112" w:rsidP="00FB5C19"/>
    <w:p w14:paraId="5EEB5B36" w14:textId="77777777" w:rsidR="00DD1F94" w:rsidRPr="0026537A" w:rsidRDefault="00CA22C6" w:rsidP="00FB5C19">
      <w:r w:rsidRPr="0026537A">
        <w:t xml:space="preserve">KLASA: </w:t>
      </w:r>
      <w:r w:rsidR="009E07B1" w:rsidRPr="0026537A">
        <w:t>003-05/18-01/05</w:t>
      </w:r>
    </w:p>
    <w:p w14:paraId="0617003C" w14:textId="77777777" w:rsidR="00DD1F94" w:rsidRPr="0026537A" w:rsidRDefault="00CA22C6" w:rsidP="00FB5C19">
      <w:r w:rsidRPr="0026537A">
        <w:t>URBROJ:</w:t>
      </w:r>
      <w:r w:rsidR="009E07B1" w:rsidRPr="0026537A">
        <w:t xml:space="preserve"> 2137-30-01-18-1</w:t>
      </w:r>
    </w:p>
    <w:p w14:paraId="3B70BA90" w14:textId="77777777" w:rsidR="00DD1F94" w:rsidRDefault="00DD1F94" w:rsidP="007E7F92">
      <w:pPr>
        <w:pStyle w:val="Tijeloteksta"/>
        <w:jc w:val="left"/>
        <w:rPr>
          <w:rFonts w:ascii="Times New Roman" w:hAnsi="Times New Roman" w:cs="Times New Roman"/>
          <w:sz w:val="24"/>
        </w:rPr>
      </w:pPr>
    </w:p>
    <w:p w14:paraId="6EB20C10" w14:textId="77777777" w:rsidR="0026537A" w:rsidRDefault="0026537A" w:rsidP="00753F53">
      <w:pPr>
        <w:ind w:left="4248" w:firstLine="708"/>
        <w:jc w:val="center"/>
      </w:pPr>
      <w:r>
        <w:t>RAVNATELJ:</w:t>
      </w:r>
    </w:p>
    <w:p w14:paraId="3F85B547" w14:textId="77777777" w:rsidR="0026537A" w:rsidRDefault="00753F53" w:rsidP="00753F53">
      <w:pPr>
        <w:ind w:left="4248" w:firstLine="708"/>
        <w:jc w:val="center"/>
      </w:pPr>
      <w:r>
        <w:t xml:space="preserve">     </w:t>
      </w:r>
      <w:r w:rsidR="0026537A">
        <w:t xml:space="preserve">Krešo </w:t>
      </w:r>
      <w:proofErr w:type="spellStart"/>
      <w:r w:rsidR="0026537A">
        <w:t>Grgac</w:t>
      </w:r>
      <w:proofErr w:type="spellEnd"/>
      <w:r w:rsidR="0026537A">
        <w:t>, prof.</w:t>
      </w:r>
    </w:p>
    <w:p w14:paraId="07883B30" w14:textId="77777777" w:rsidR="00DD1F94" w:rsidRDefault="00DD1F94" w:rsidP="00C151AC">
      <w:pPr>
        <w:pStyle w:val="Tijeloteksta"/>
        <w:rPr>
          <w:rFonts w:ascii="Times New Roman" w:hAnsi="Times New Roman" w:cs="Times New Roman"/>
          <w:sz w:val="24"/>
        </w:rPr>
      </w:pPr>
    </w:p>
    <w:sectPr w:rsidR="00DD1F94" w:rsidSect="006964A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E0AE0"/>
    <w:multiLevelType w:val="hybridMultilevel"/>
    <w:tmpl w:val="28D4A1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0B87041"/>
    <w:multiLevelType w:val="hybridMultilevel"/>
    <w:tmpl w:val="CFBE5D48"/>
    <w:lvl w:ilvl="0" w:tplc="E71A5E5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1BE35D7"/>
    <w:multiLevelType w:val="hybridMultilevel"/>
    <w:tmpl w:val="FA42402E"/>
    <w:lvl w:ilvl="0" w:tplc="FFD8B0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224"/>
    <w:rsid w:val="000605D9"/>
    <w:rsid w:val="00093295"/>
    <w:rsid w:val="000B519A"/>
    <w:rsid w:val="000D44A7"/>
    <w:rsid w:val="001045C7"/>
    <w:rsid w:val="00107112"/>
    <w:rsid w:val="00136257"/>
    <w:rsid w:val="00143372"/>
    <w:rsid w:val="0018630A"/>
    <w:rsid w:val="001C5089"/>
    <w:rsid w:val="001D4985"/>
    <w:rsid w:val="001E6CB5"/>
    <w:rsid w:val="00216D11"/>
    <w:rsid w:val="00223549"/>
    <w:rsid w:val="0024055A"/>
    <w:rsid w:val="0024239A"/>
    <w:rsid w:val="00253955"/>
    <w:rsid w:val="0026537A"/>
    <w:rsid w:val="002C5C0E"/>
    <w:rsid w:val="00302366"/>
    <w:rsid w:val="0033434B"/>
    <w:rsid w:val="00383C5B"/>
    <w:rsid w:val="003A3413"/>
    <w:rsid w:val="003B0989"/>
    <w:rsid w:val="003E48DF"/>
    <w:rsid w:val="00417551"/>
    <w:rsid w:val="004301C8"/>
    <w:rsid w:val="00476517"/>
    <w:rsid w:val="00492722"/>
    <w:rsid w:val="004A1C3A"/>
    <w:rsid w:val="004B1728"/>
    <w:rsid w:val="004C6509"/>
    <w:rsid w:val="004E721E"/>
    <w:rsid w:val="004F6997"/>
    <w:rsid w:val="00555D93"/>
    <w:rsid w:val="00576F31"/>
    <w:rsid w:val="005A25BE"/>
    <w:rsid w:val="005E1A89"/>
    <w:rsid w:val="005F6344"/>
    <w:rsid w:val="006034F6"/>
    <w:rsid w:val="006211B2"/>
    <w:rsid w:val="006242AD"/>
    <w:rsid w:val="00642FBD"/>
    <w:rsid w:val="00666E22"/>
    <w:rsid w:val="00680062"/>
    <w:rsid w:val="006964A2"/>
    <w:rsid w:val="00753F53"/>
    <w:rsid w:val="0076437A"/>
    <w:rsid w:val="00772224"/>
    <w:rsid w:val="007905E7"/>
    <w:rsid w:val="007C343D"/>
    <w:rsid w:val="007C3606"/>
    <w:rsid w:val="007C5A6B"/>
    <w:rsid w:val="007D381F"/>
    <w:rsid w:val="007E496B"/>
    <w:rsid w:val="007E7F92"/>
    <w:rsid w:val="007F7D19"/>
    <w:rsid w:val="00834BB7"/>
    <w:rsid w:val="0085072A"/>
    <w:rsid w:val="008601D0"/>
    <w:rsid w:val="00874120"/>
    <w:rsid w:val="00884D11"/>
    <w:rsid w:val="008D0158"/>
    <w:rsid w:val="008D6284"/>
    <w:rsid w:val="009573D4"/>
    <w:rsid w:val="0096592C"/>
    <w:rsid w:val="0099548A"/>
    <w:rsid w:val="009A3478"/>
    <w:rsid w:val="009C009D"/>
    <w:rsid w:val="009C0E97"/>
    <w:rsid w:val="009E07B1"/>
    <w:rsid w:val="009F4380"/>
    <w:rsid w:val="00A6386A"/>
    <w:rsid w:val="00AB6C0D"/>
    <w:rsid w:val="00AE795B"/>
    <w:rsid w:val="00B41F78"/>
    <w:rsid w:val="00B87276"/>
    <w:rsid w:val="00B91BE1"/>
    <w:rsid w:val="00BA5363"/>
    <w:rsid w:val="00BB0B2D"/>
    <w:rsid w:val="00BB175A"/>
    <w:rsid w:val="00BF01E9"/>
    <w:rsid w:val="00BF1D2B"/>
    <w:rsid w:val="00BF265D"/>
    <w:rsid w:val="00BF68BA"/>
    <w:rsid w:val="00BF7D70"/>
    <w:rsid w:val="00C02765"/>
    <w:rsid w:val="00C12B0B"/>
    <w:rsid w:val="00C151AC"/>
    <w:rsid w:val="00C15762"/>
    <w:rsid w:val="00C20702"/>
    <w:rsid w:val="00C26C60"/>
    <w:rsid w:val="00C806D4"/>
    <w:rsid w:val="00CA22C6"/>
    <w:rsid w:val="00CC0AF3"/>
    <w:rsid w:val="00CD6FAB"/>
    <w:rsid w:val="00D036B3"/>
    <w:rsid w:val="00D23A6F"/>
    <w:rsid w:val="00D26464"/>
    <w:rsid w:val="00D91008"/>
    <w:rsid w:val="00DA2048"/>
    <w:rsid w:val="00DD1F94"/>
    <w:rsid w:val="00E25F2F"/>
    <w:rsid w:val="00E95E47"/>
    <w:rsid w:val="00EB1C2B"/>
    <w:rsid w:val="00EB2FDF"/>
    <w:rsid w:val="00EC2F51"/>
    <w:rsid w:val="00EF462F"/>
    <w:rsid w:val="00F62889"/>
    <w:rsid w:val="00F7496B"/>
    <w:rsid w:val="00F850B0"/>
    <w:rsid w:val="00F96568"/>
    <w:rsid w:val="00FB5C19"/>
    <w:rsid w:val="00FD2AC8"/>
    <w:rsid w:val="00FF445A"/>
    <w:rsid w:val="00F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424D19"/>
  <w15:docId w15:val="{BD879BDF-FBA2-419D-AD98-6478DEB9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BB7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834BB7"/>
    <w:pPr>
      <w:keepNext/>
      <w:jc w:val="center"/>
      <w:outlineLvl w:val="0"/>
    </w:pPr>
    <w:rPr>
      <w:rFonts w:cs="Courier New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uiPriority w:val="99"/>
    <w:qFormat/>
    <w:rsid w:val="00834BB7"/>
    <w:pPr>
      <w:keepNext/>
      <w:outlineLvl w:val="2"/>
    </w:pPr>
    <w:rPr>
      <w:rFonts w:ascii="Arial" w:hAnsi="Arial" w:cs="Arial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834BB7"/>
    <w:rPr>
      <w:rFonts w:ascii="Times New Roman" w:hAnsi="Times New Roman" w:cs="Courier New"/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834BB7"/>
    <w:rPr>
      <w:rFonts w:ascii="Arial" w:hAnsi="Arial" w:cs="Arial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rsid w:val="00834B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34BB7"/>
    <w:rPr>
      <w:rFonts w:ascii="Tahom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99"/>
    <w:rsid w:val="005A25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905E7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  <w:lang w:eastAsia="en-US"/>
    </w:rPr>
  </w:style>
  <w:style w:type="paragraph" w:customStyle="1" w:styleId="Odlomakpopisa1">
    <w:name w:val="Odlomak popisa1"/>
    <w:basedOn w:val="Normal"/>
    <w:uiPriority w:val="99"/>
    <w:rsid w:val="009F4380"/>
    <w:pPr>
      <w:spacing w:after="200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paragraph" w:styleId="Bezproreda">
    <w:name w:val="No Spacing"/>
    <w:uiPriority w:val="99"/>
    <w:qFormat/>
    <w:rsid w:val="009F4380"/>
    <w:rPr>
      <w:rFonts w:ascii="Times New Roman" w:eastAsia="Times New Roman" w:hAnsi="Times New Roman"/>
      <w:sz w:val="24"/>
      <w:szCs w:val="24"/>
    </w:rPr>
  </w:style>
  <w:style w:type="paragraph" w:styleId="Tijeloteksta">
    <w:name w:val="Body Text"/>
    <w:basedOn w:val="Normal"/>
    <w:link w:val="TijelotekstaChar"/>
    <w:uiPriority w:val="99"/>
    <w:rsid w:val="00C151AC"/>
    <w:pPr>
      <w:jc w:val="center"/>
    </w:pPr>
    <w:rPr>
      <w:rFonts w:ascii="Tahoma" w:hAnsi="Tahoma" w:cs="Tahoma"/>
      <w:b/>
      <w:bCs/>
      <w:sz w:val="20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C151AC"/>
    <w:rPr>
      <w:rFonts w:ascii="Tahoma" w:hAnsi="Tahoma" w:cs="Tahoma"/>
      <w:b/>
      <w:bCs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rsid w:val="00C151AC"/>
    <w:rPr>
      <w:rFonts w:ascii="Tahoma" w:hAnsi="Tahoma" w:cs="Tahoma"/>
      <w:sz w:val="20"/>
    </w:r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C151AC"/>
    <w:rPr>
      <w:rFonts w:ascii="Tahoma" w:hAnsi="Tahoma" w:cs="Tahoma"/>
      <w:sz w:val="24"/>
      <w:szCs w:val="24"/>
      <w:lang w:eastAsia="hr-HR"/>
    </w:rPr>
  </w:style>
  <w:style w:type="paragraph" w:customStyle="1" w:styleId="Odlomakpopisa2">
    <w:name w:val="Odlomak popisa2"/>
    <w:basedOn w:val="Normal"/>
    <w:uiPriority w:val="99"/>
    <w:rsid w:val="00C151AC"/>
    <w:pPr>
      <w:spacing w:after="200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rsid w:val="00C151AC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Andreja Eršetić</cp:lastModifiedBy>
  <cp:revision>2</cp:revision>
  <cp:lastPrinted>2018-08-29T09:41:00Z</cp:lastPrinted>
  <dcterms:created xsi:type="dcterms:W3CDTF">2021-03-15T12:17:00Z</dcterms:created>
  <dcterms:modified xsi:type="dcterms:W3CDTF">2021-03-15T12:17:00Z</dcterms:modified>
</cp:coreProperties>
</file>