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099A04" w14:textId="3156E154" w:rsidR="00BC66F3" w:rsidRPr="00413C07" w:rsidRDefault="00E4212A" w:rsidP="00E4212A">
      <w:pPr>
        <w:rPr>
          <w:b/>
          <w:bCs/>
        </w:rPr>
      </w:pPr>
      <w:r w:rsidRPr="00413C07">
        <w:rPr>
          <w:b/>
          <w:bCs/>
        </w:rPr>
        <w:t xml:space="preserve"> </w:t>
      </w:r>
      <w:r w:rsidR="00D834E3">
        <w:rPr>
          <w:b/>
          <w:bCs/>
        </w:rPr>
        <w:t xml:space="preserve">      </w:t>
      </w:r>
      <w:r w:rsidRPr="00413C07">
        <w:rPr>
          <w:b/>
          <w:bCs/>
        </w:rPr>
        <w:t xml:space="preserve"> </w:t>
      </w:r>
      <w:r w:rsidR="0060504F">
        <w:rPr>
          <w:b/>
          <w:bCs/>
        </w:rPr>
        <w:t xml:space="preserve">               </w:t>
      </w:r>
      <w:r w:rsidRPr="00413C07">
        <w:rPr>
          <w:b/>
          <w:bCs/>
        </w:rPr>
        <w:t xml:space="preserve">    </w:t>
      </w:r>
      <w:r w:rsidR="00D834E3" w:rsidRPr="00021F35">
        <w:rPr>
          <w:noProof/>
        </w:rPr>
        <w:drawing>
          <wp:inline distT="0" distB="0" distL="0" distR="0" wp14:anchorId="2676A9D2" wp14:editId="1AEF0910">
            <wp:extent cx="485775" cy="647700"/>
            <wp:effectExtent l="0" t="0" r="9525" b="0"/>
            <wp:docPr id="2" name="Slika 2" descr="Hrvatski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Hrvatski gr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5775" cy="647700"/>
                    </a:xfrm>
                    <a:prstGeom prst="rect">
                      <a:avLst/>
                    </a:prstGeom>
                    <a:noFill/>
                    <a:ln>
                      <a:noFill/>
                    </a:ln>
                  </pic:spPr>
                </pic:pic>
              </a:graphicData>
            </a:graphic>
          </wp:inline>
        </w:drawing>
      </w:r>
      <w:bookmarkStart w:id="0" w:name="_Hlk76731899"/>
      <w:r w:rsidR="00BC66F3" w:rsidRPr="00413C07">
        <w:rPr>
          <w:noProof/>
        </w:rPr>
        <w:drawing>
          <wp:inline distT="0" distB="0" distL="0" distR="0" wp14:anchorId="466677E0" wp14:editId="42DDD2D3">
            <wp:extent cx="741409" cy="638175"/>
            <wp:effectExtent l="0" t="0" r="1905" b="0"/>
            <wp:docPr id="1" name="Slika 1" descr="Image result for logo oš braća radi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Image result for logo oš braća radić"/>
                    <pic:cNvPicPr>
                      <a:picLocks noChangeAspect="1" noChangeArrowheads="1"/>
                    </pic:cNvPicPr>
                  </pic:nvPicPr>
                  <pic:blipFill>
                    <a:blip r:embed="rId9">
                      <a:extLst>
                        <a:ext uri="{28A0092B-C50C-407E-A947-70E740481C1C}">
                          <a14:useLocalDpi xmlns:a14="http://schemas.microsoft.com/office/drawing/2010/main" val="0"/>
                        </a:ext>
                      </a:extLst>
                    </a:blip>
                    <a:srcRect r="72746"/>
                    <a:stretch>
                      <a:fillRect/>
                    </a:stretch>
                  </pic:blipFill>
                  <pic:spPr bwMode="auto">
                    <a:xfrm>
                      <a:off x="0" y="0"/>
                      <a:ext cx="742564" cy="639169"/>
                    </a:xfrm>
                    <a:prstGeom prst="rect">
                      <a:avLst/>
                    </a:prstGeom>
                    <a:noFill/>
                    <a:ln>
                      <a:noFill/>
                    </a:ln>
                  </pic:spPr>
                </pic:pic>
              </a:graphicData>
            </a:graphic>
          </wp:inline>
        </w:drawing>
      </w:r>
      <w:bookmarkEnd w:id="0"/>
      <w:r w:rsidRPr="00413C07">
        <w:rPr>
          <w:b/>
          <w:bCs/>
        </w:rPr>
        <w:t xml:space="preserve"> </w:t>
      </w:r>
      <w:bookmarkStart w:id="1" w:name="_Hlk49331372"/>
    </w:p>
    <w:p w14:paraId="20C9CB8F" w14:textId="0219B3F9" w:rsidR="00E4212A" w:rsidRPr="00413C07" w:rsidRDefault="0060504F" w:rsidP="00BC66F3">
      <w:pPr>
        <w:ind w:firstLine="708"/>
        <w:rPr>
          <w:b/>
          <w:bCs/>
        </w:rPr>
      </w:pPr>
      <w:r>
        <w:rPr>
          <w:b/>
          <w:bCs/>
        </w:rPr>
        <w:t xml:space="preserve">               </w:t>
      </w:r>
      <w:r w:rsidR="00E4212A" w:rsidRPr="00413C07">
        <w:rPr>
          <w:b/>
          <w:bCs/>
        </w:rPr>
        <w:t>Republika Hrvatska</w:t>
      </w:r>
    </w:p>
    <w:p w14:paraId="7892EFDB" w14:textId="792B663C" w:rsidR="00E4212A" w:rsidRPr="00413C07" w:rsidRDefault="0060504F" w:rsidP="00E4212A">
      <w:pPr>
        <w:rPr>
          <w:b/>
          <w:bCs/>
        </w:rPr>
      </w:pPr>
      <w:r>
        <w:rPr>
          <w:b/>
          <w:bCs/>
        </w:rPr>
        <w:t xml:space="preserve">            </w:t>
      </w:r>
      <w:r w:rsidR="00E4212A" w:rsidRPr="00413C07">
        <w:rPr>
          <w:b/>
          <w:bCs/>
        </w:rPr>
        <w:t xml:space="preserve">  Koprivničko – Križevačka županija</w:t>
      </w:r>
    </w:p>
    <w:p w14:paraId="3FD370EF" w14:textId="11069623" w:rsidR="00E4212A" w:rsidRPr="00413C07" w:rsidRDefault="00E4212A" w:rsidP="00E4212A">
      <w:pPr>
        <w:rPr>
          <w:b/>
          <w:bCs/>
        </w:rPr>
      </w:pPr>
      <w:r w:rsidRPr="00413C07">
        <w:rPr>
          <w:b/>
          <w:bCs/>
        </w:rPr>
        <w:t>OSNOVNA ŠKOLA „BRAĆA RADIĆ</w:t>
      </w:r>
      <w:r w:rsidR="00A638EC">
        <w:rPr>
          <w:b/>
          <w:bCs/>
        </w:rPr>
        <w:t xml:space="preserve"> </w:t>
      </w:r>
      <w:r w:rsidRPr="00413C07">
        <w:rPr>
          <w:b/>
          <w:bCs/>
        </w:rPr>
        <w:t>KOPRIVNICA</w:t>
      </w:r>
    </w:p>
    <w:bookmarkEnd w:id="1"/>
    <w:p w14:paraId="453CF4A2" w14:textId="4E81C79D" w:rsidR="00A638EC" w:rsidRDefault="00A638EC" w:rsidP="006A45DF">
      <w:pPr>
        <w:ind w:firstLine="708"/>
        <w:rPr>
          <w:b/>
          <w:bCs/>
        </w:rPr>
      </w:pPr>
    </w:p>
    <w:p w14:paraId="72F26DCE" w14:textId="77777777" w:rsidR="001B39F8" w:rsidRPr="00413C07" w:rsidRDefault="001B39F8" w:rsidP="00E4212A"/>
    <w:p w14:paraId="57480BCB" w14:textId="77777777" w:rsidR="00356265" w:rsidRDefault="00E4212A" w:rsidP="00C25F56">
      <w:pPr>
        <w:jc w:val="center"/>
        <w:rPr>
          <w:b/>
        </w:rPr>
      </w:pPr>
      <w:r w:rsidRPr="00413C07">
        <w:rPr>
          <w:b/>
        </w:rPr>
        <w:t xml:space="preserve">OBRAZLOŽENJE </w:t>
      </w:r>
      <w:r w:rsidR="00C25F56" w:rsidRPr="00413C07">
        <w:rPr>
          <w:b/>
        </w:rPr>
        <w:t>POLUGODIŠNJEG IZVJEŠTAJA</w:t>
      </w:r>
      <w:r w:rsidR="00E81580">
        <w:rPr>
          <w:b/>
        </w:rPr>
        <w:t xml:space="preserve"> </w:t>
      </w:r>
      <w:r w:rsidR="00C25F56" w:rsidRPr="00413C07">
        <w:rPr>
          <w:b/>
        </w:rPr>
        <w:t xml:space="preserve">O </w:t>
      </w:r>
      <w:r w:rsidRPr="00413C07">
        <w:rPr>
          <w:b/>
        </w:rPr>
        <w:t>IZVRŠENJ</w:t>
      </w:r>
      <w:r w:rsidR="00C25F56" w:rsidRPr="00413C07">
        <w:rPr>
          <w:b/>
        </w:rPr>
        <w:t>U</w:t>
      </w:r>
      <w:r w:rsidRPr="00413C07">
        <w:rPr>
          <w:b/>
        </w:rPr>
        <w:t xml:space="preserve"> </w:t>
      </w:r>
      <w:r w:rsidR="00A10002" w:rsidRPr="00413C07">
        <w:rPr>
          <w:b/>
        </w:rPr>
        <w:t>FINANCIJSKOG PLANA</w:t>
      </w:r>
      <w:r w:rsidRPr="00413C07">
        <w:rPr>
          <w:b/>
        </w:rPr>
        <w:t xml:space="preserve"> OSNOVNE ŠKOLE</w:t>
      </w:r>
    </w:p>
    <w:p w14:paraId="0B1F8700" w14:textId="58768E90" w:rsidR="00914292" w:rsidRPr="00413C07" w:rsidRDefault="00E81580" w:rsidP="00C25F56">
      <w:pPr>
        <w:jc w:val="center"/>
        <w:rPr>
          <w:b/>
        </w:rPr>
      </w:pPr>
      <w:r>
        <w:rPr>
          <w:b/>
        </w:rPr>
        <w:t xml:space="preserve"> </w:t>
      </w:r>
      <w:r w:rsidR="00E4212A" w:rsidRPr="00413C07">
        <w:rPr>
          <w:b/>
        </w:rPr>
        <w:t xml:space="preserve"> „BRAĆA RADIĆ“ </w:t>
      </w:r>
      <w:r w:rsidR="00F46239" w:rsidRPr="00413C07">
        <w:rPr>
          <w:b/>
        </w:rPr>
        <w:t xml:space="preserve">KOPRIVNICA </w:t>
      </w:r>
      <w:r w:rsidR="00E4212A" w:rsidRPr="00413C07">
        <w:rPr>
          <w:b/>
        </w:rPr>
        <w:t xml:space="preserve">ZA </w:t>
      </w:r>
      <w:r w:rsidR="00C25F56" w:rsidRPr="00413C07">
        <w:rPr>
          <w:b/>
        </w:rPr>
        <w:t>202</w:t>
      </w:r>
      <w:r w:rsidR="007C539F">
        <w:rPr>
          <w:b/>
        </w:rPr>
        <w:t>4</w:t>
      </w:r>
      <w:r w:rsidR="00C25F56" w:rsidRPr="00413C07">
        <w:rPr>
          <w:b/>
        </w:rPr>
        <w:t>. GODINU</w:t>
      </w:r>
    </w:p>
    <w:p w14:paraId="590F0EB2" w14:textId="77777777" w:rsidR="00C25F56" w:rsidRPr="00413C07" w:rsidRDefault="00C25F56" w:rsidP="00C25F56">
      <w:pPr>
        <w:jc w:val="center"/>
        <w:rPr>
          <w:b/>
        </w:rPr>
      </w:pPr>
    </w:p>
    <w:p w14:paraId="60704096" w14:textId="2E245F22" w:rsidR="00F0253E" w:rsidRPr="00413C07" w:rsidRDefault="00F0253E" w:rsidP="00F0253E">
      <w:pPr>
        <w:rPr>
          <w:b/>
        </w:rPr>
      </w:pPr>
    </w:p>
    <w:p w14:paraId="4D6A9C6C" w14:textId="77777777" w:rsidR="00F0253E" w:rsidRPr="007143FD" w:rsidRDefault="00F0253E" w:rsidP="00F0253E">
      <w:pPr>
        <w:jc w:val="both"/>
        <w:rPr>
          <w:b/>
        </w:rPr>
      </w:pPr>
      <w:r w:rsidRPr="007143FD">
        <w:rPr>
          <w:b/>
        </w:rPr>
        <w:t>1. Sažetak djelokruga rada proračunskog korisnika</w:t>
      </w:r>
    </w:p>
    <w:p w14:paraId="59A37360" w14:textId="77777777" w:rsidR="007143FD" w:rsidRPr="00F90DD8" w:rsidRDefault="007143FD" w:rsidP="007143FD">
      <w:pPr>
        <w:ind w:firstLine="360"/>
        <w:jc w:val="both"/>
      </w:pPr>
      <w:r w:rsidRPr="00F90DD8">
        <w:t>Osnovna škola „Braća Radić“ MB: 3009556, OIB: 13567291238 ima predmet poslovanja – djelatnosti: odgoj i osnovno školovanje djece, osnovno školovanje za darovitu djecu i za djecu s teškoćama u razvoju prema posebno propisanim nastavnim planovima i programima, organizacija aktivnosti djece u sklopu različitih udruga te učeničkih klubova i društava.</w:t>
      </w:r>
    </w:p>
    <w:p w14:paraId="6E8E1F23" w14:textId="77777777" w:rsidR="007143FD" w:rsidRPr="00F90DD8" w:rsidRDefault="007143FD" w:rsidP="007143FD">
      <w:pPr>
        <w:ind w:firstLine="360"/>
        <w:jc w:val="both"/>
      </w:pPr>
      <w:r w:rsidRPr="00F90DD8">
        <w:t>Nastava je organizirana u dvije smjene. Prva smjena počinje u 8:00 h i završava u 13:10 h dok druga smjena počinje u 13:15 h i završava u 18:25 h.  Nastava, redovna, izborna, dopunska i dodatna izvodi se prema nastavnim planovima i programima koje je donijelo Ministarstvo znanosti, obrazovanja i sporta i  Godišnjem  planu i programu rada škole.</w:t>
      </w:r>
    </w:p>
    <w:p w14:paraId="5D4D65D1" w14:textId="0E1C5AE3" w:rsidR="007143FD" w:rsidRPr="00F90DD8" w:rsidRDefault="007143FD" w:rsidP="007143FD">
      <w:pPr>
        <w:ind w:firstLine="360"/>
        <w:jc w:val="both"/>
      </w:pPr>
      <w:r w:rsidRPr="00F90DD8">
        <w:t xml:space="preserve">Matična škola u Koprivnici sagrađena je 1989. godine. </w:t>
      </w:r>
      <w:r w:rsidR="00575685">
        <w:t>Na kraju školske godine</w:t>
      </w:r>
      <w:r w:rsidRPr="00F90DD8">
        <w:t xml:space="preserve"> 202</w:t>
      </w:r>
      <w:r>
        <w:t>3</w:t>
      </w:r>
      <w:r w:rsidRPr="00F90DD8">
        <w:t xml:space="preserve">./2024. nastavu </w:t>
      </w:r>
      <w:r w:rsidR="00575685">
        <w:t xml:space="preserve">je </w:t>
      </w:r>
      <w:r w:rsidRPr="00F90DD8">
        <w:t>polazi</w:t>
      </w:r>
      <w:r w:rsidR="00575685">
        <w:t>lo</w:t>
      </w:r>
      <w:r w:rsidRPr="00F90DD8">
        <w:t xml:space="preserve"> 77</w:t>
      </w:r>
      <w:r w:rsidR="00575685">
        <w:t>9</w:t>
      </w:r>
      <w:r w:rsidRPr="00F90DD8">
        <w:t xml:space="preserve"> učenika  u  36 razrednih  odjela. Školska zgrada u Starigradu sagrađena je 1954. godine, a nastav</w:t>
      </w:r>
      <w:r w:rsidR="00575685">
        <w:t>u</w:t>
      </w:r>
      <w:r w:rsidRPr="00F90DD8">
        <w:t xml:space="preserve"> je </w:t>
      </w:r>
      <w:r w:rsidR="00575685">
        <w:t xml:space="preserve">polazilo </w:t>
      </w:r>
      <w:r w:rsidRPr="00F90DD8">
        <w:t>66 učenika  u 4 razredna odjela.  Područna škola Bakovčica je darovnim ugovorom pripala našem Osnivaču Gradu Koprivnici u rujnu 2023. godine.</w:t>
      </w:r>
    </w:p>
    <w:p w14:paraId="7D47F689" w14:textId="77777777" w:rsidR="007143FD" w:rsidRPr="00F90DD8" w:rsidRDefault="007143FD" w:rsidP="007143FD">
      <w:pPr>
        <w:jc w:val="both"/>
      </w:pPr>
      <w:r w:rsidRPr="00F90DD8">
        <w:t xml:space="preserve">       U Matičnoj školi rad se odvija u 25 učionica od kojih su 5 specijalizirane. Uz ove učionice nastava se odvija i u školskoj sportskoj dvorani, knjižnici i na sportskom igralištu. Područna škola Starigrad, na žalost, nema sportsku dvoranu ni odgovarajuće sportsko igralište.   </w:t>
      </w:r>
    </w:p>
    <w:p w14:paraId="7BCD7A90" w14:textId="76EF1147" w:rsidR="007143FD" w:rsidRPr="007143FD" w:rsidRDefault="007143FD" w:rsidP="007143FD">
      <w:pPr>
        <w:ind w:left="-15" w:firstLine="723"/>
        <w:jc w:val="both"/>
      </w:pPr>
      <w:r w:rsidRPr="00F90DD8">
        <w:t xml:space="preserve">Osnovna škola „Braća Radić“ na </w:t>
      </w:r>
      <w:r>
        <w:t>kraju</w:t>
      </w:r>
      <w:r w:rsidRPr="00F90DD8">
        <w:t xml:space="preserve"> šk. god. 2023./2024. broji 97 djelatnika, od toga 21 učitelja razredne nastave, 44 učitelja predmetne nastave, 4 stručna suradnika, </w:t>
      </w:r>
      <w:r>
        <w:t>11</w:t>
      </w:r>
      <w:r w:rsidRPr="00F90DD8">
        <w:t xml:space="preserve"> pomoćnika u nastavi i 2 stručno komunikacijska posrednika te 17 ostalih djelatnika, od toga su 5 učiteljica </w:t>
      </w:r>
      <w:r w:rsidR="00DB4C30">
        <w:t xml:space="preserve">izvrsne </w:t>
      </w:r>
      <w:r w:rsidRPr="00F90DD8">
        <w:t xml:space="preserve">savjetnice, </w:t>
      </w:r>
      <w:r w:rsidR="00DB4C30">
        <w:t xml:space="preserve">1 savjetnica, </w:t>
      </w:r>
      <w:r w:rsidRPr="00F90DD8">
        <w:t xml:space="preserve">4 učiteljice mentorice i 6 voditelja Županijskih stručnih vijeća (matematike, vjeronauka, engleskoga jezika, knjižnice i 2 voditeljice razredne nastave). </w:t>
      </w:r>
    </w:p>
    <w:p w14:paraId="03E74089" w14:textId="77777777" w:rsidR="007143FD" w:rsidRPr="007143FD" w:rsidRDefault="007143FD" w:rsidP="00F0253E">
      <w:pPr>
        <w:jc w:val="both"/>
        <w:rPr>
          <w:b/>
          <w:bCs/>
          <w:color w:val="FF0000"/>
        </w:rPr>
      </w:pPr>
    </w:p>
    <w:p w14:paraId="09918714" w14:textId="77777777" w:rsidR="00F0253E" w:rsidRPr="00DB4C30" w:rsidRDefault="00F0253E" w:rsidP="00F0253E">
      <w:pPr>
        <w:jc w:val="both"/>
        <w:rPr>
          <w:b/>
        </w:rPr>
      </w:pPr>
      <w:r w:rsidRPr="00DB4C30">
        <w:rPr>
          <w:b/>
        </w:rPr>
        <w:t>2. Obrazloženje programa rada školske ustanove</w:t>
      </w:r>
    </w:p>
    <w:p w14:paraId="2EF7B80C" w14:textId="77777777" w:rsidR="00F0253E" w:rsidRPr="00DB4C30" w:rsidRDefault="00F0253E" w:rsidP="00F0253E">
      <w:pPr>
        <w:ind w:firstLine="708"/>
        <w:jc w:val="both"/>
      </w:pPr>
      <w:r w:rsidRPr="00DB4C30">
        <w:t xml:space="preserve">Prioritet škole je kvalitetno obrazovanje i odgoj učenika što ostvarujemo stalnim usavršavanjem učitelja, stručnih suradnika i ostali djelatnika (seminari, stručni skupovi, aktivi) i podizanje nastavnog standarda na višu razinu, poticanjem učenika na izražavanje kreativnosti, talenata i sposobnosti prema interesima, razvijanje navike cjeloživotnog učenja, usvajanje zdravih navika preko zdravstvenog odgoja, pozitivnih stavova u odgoju mlade ličnosti kroz građanski odgoj tj. razvoj kompletne mlade osobe razvijenim samopoštovanjem i poštovanjem drugih. </w:t>
      </w:r>
    </w:p>
    <w:p w14:paraId="705C7D85" w14:textId="32C69ED0" w:rsidR="00F0253E" w:rsidRDefault="00F0253E" w:rsidP="00F0253E">
      <w:pPr>
        <w:ind w:firstLine="708"/>
        <w:contextualSpacing/>
        <w:jc w:val="both"/>
      </w:pPr>
      <w:r w:rsidRPr="00DB4C30">
        <w:t>Financijskim planom sredstva su planirana za provođenje programa 3002 Osnovni program osnovnoškolskog odgoja i obrazovanja, 3003 Dodatni program odgoja i obrazovanja, 3015 Socijalni program i 9000 COP.</w:t>
      </w:r>
    </w:p>
    <w:p w14:paraId="08C75C0B" w14:textId="6322DA9A" w:rsidR="001B5FCE" w:rsidRDefault="001B5FCE" w:rsidP="00F0253E">
      <w:pPr>
        <w:ind w:firstLine="708"/>
        <w:contextualSpacing/>
        <w:jc w:val="both"/>
      </w:pPr>
    </w:p>
    <w:p w14:paraId="4B292029" w14:textId="77777777" w:rsidR="001B5FCE" w:rsidRPr="00DB4C30" w:rsidRDefault="001B5FCE" w:rsidP="00F0253E">
      <w:pPr>
        <w:ind w:firstLine="708"/>
        <w:contextualSpacing/>
        <w:jc w:val="both"/>
        <w:rPr>
          <w:b/>
        </w:rPr>
      </w:pPr>
    </w:p>
    <w:p w14:paraId="27485D5D" w14:textId="77777777" w:rsidR="00F0253E" w:rsidRPr="00DB4C30" w:rsidRDefault="00F0253E" w:rsidP="00F0253E">
      <w:pPr>
        <w:jc w:val="both"/>
      </w:pPr>
    </w:p>
    <w:p w14:paraId="1E3290FA" w14:textId="77777777" w:rsidR="00F0253E" w:rsidRPr="00DB4C30" w:rsidRDefault="00F0253E" w:rsidP="00F0253E">
      <w:pPr>
        <w:jc w:val="both"/>
      </w:pPr>
      <w:r w:rsidRPr="00DB4C30">
        <w:rPr>
          <w:b/>
        </w:rPr>
        <w:lastRenderedPageBreak/>
        <w:t>3. Usklađenost ciljeva, strategije i programa s dokumentima dugoročnog razvoja</w:t>
      </w:r>
    </w:p>
    <w:p w14:paraId="14F098A5" w14:textId="77777777" w:rsidR="00F0253E" w:rsidRPr="007143FD" w:rsidRDefault="00F0253E" w:rsidP="00F0253E">
      <w:pPr>
        <w:jc w:val="both"/>
        <w:rPr>
          <w:color w:val="FF0000"/>
        </w:rPr>
      </w:pPr>
      <w:r w:rsidRPr="00DB4C30">
        <w:tab/>
        <w:t>Školske ustanove ne donose strateške, već godišnje planove (Školski kurikulum i Godišnji plan i program rada škole) prema planu i programu koje je donijelo Ministarstvo znanosti i  obrazovanja. Također, planovi se donose za školsku godinu, a ne za fiskalnu što je uzrok mogućim odstupanjima u izvršenju financijskih planova</w:t>
      </w:r>
      <w:r w:rsidRPr="007143FD">
        <w:rPr>
          <w:color w:val="FF0000"/>
        </w:rPr>
        <w:t xml:space="preserve">. </w:t>
      </w:r>
    </w:p>
    <w:p w14:paraId="1A6CCD03" w14:textId="4A4E3269" w:rsidR="00D851E7" w:rsidRDefault="00D851E7" w:rsidP="00E744EF">
      <w:pPr>
        <w:jc w:val="both"/>
        <w:rPr>
          <w:b/>
          <w:i/>
          <w:iCs/>
        </w:rPr>
      </w:pPr>
    </w:p>
    <w:p w14:paraId="62F94DA8" w14:textId="77777777" w:rsidR="007143FD" w:rsidRPr="00F90DD8" w:rsidRDefault="007143FD" w:rsidP="007143FD">
      <w:pPr>
        <w:ind w:firstLine="360"/>
        <w:jc w:val="both"/>
        <w:rPr>
          <w:b/>
        </w:rPr>
      </w:pPr>
      <w:r w:rsidRPr="00F90DD8">
        <w:rPr>
          <w:b/>
        </w:rPr>
        <w:t>ZAKONSKE I DRUGE PODLOGE NA KOJIMA SE ZASNIVA PROGRAM</w:t>
      </w:r>
    </w:p>
    <w:p w14:paraId="11250DBC" w14:textId="77777777" w:rsidR="007143FD" w:rsidRPr="00F90DD8" w:rsidRDefault="007143FD" w:rsidP="007143FD">
      <w:pPr>
        <w:numPr>
          <w:ilvl w:val="0"/>
          <w:numId w:val="1"/>
        </w:numPr>
        <w:contextualSpacing/>
        <w:jc w:val="both"/>
      </w:pPr>
      <w:r w:rsidRPr="00F90DD8">
        <w:t>Zakon o odgoju i obrazovanju u osnovnoj i srednjoj školi (NN broj 87/08, 86/09, 92/10, 105/10, 90/11, 5/12, 16/12, 86/12, 126/12, 94/13, 152/14, 07/17, 68/18, 98/19, 64/20</w:t>
      </w:r>
      <w:r>
        <w:t>,</w:t>
      </w:r>
      <w:r w:rsidRPr="00F90DD8">
        <w:t xml:space="preserve"> 151/22</w:t>
      </w:r>
      <w:r>
        <w:t>, 155/23 i 156/23</w:t>
      </w:r>
      <w:r w:rsidRPr="00F90DD8">
        <w:t xml:space="preserve">),  </w:t>
      </w:r>
    </w:p>
    <w:p w14:paraId="558CA7C2" w14:textId="77777777" w:rsidR="007143FD" w:rsidRPr="00F90DD8" w:rsidRDefault="007143FD" w:rsidP="007143FD">
      <w:pPr>
        <w:numPr>
          <w:ilvl w:val="0"/>
          <w:numId w:val="1"/>
        </w:numPr>
        <w:contextualSpacing/>
        <w:jc w:val="both"/>
      </w:pPr>
      <w:r w:rsidRPr="00F90DD8">
        <w:t xml:space="preserve">Zakon o ustanovama (NN broj 76/93, 29/97, 47/99, 35/08,127/19 i 151/22) , </w:t>
      </w:r>
    </w:p>
    <w:p w14:paraId="100C9BBD" w14:textId="77777777" w:rsidR="007143FD" w:rsidRPr="00F90DD8" w:rsidRDefault="007143FD" w:rsidP="007143FD">
      <w:pPr>
        <w:numPr>
          <w:ilvl w:val="0"/>
          <w:numId w:val="1"/>
        </w:numPr>
        <w:contextualSpacing/>
        <w:jc w:val="both"/>
      </w:pPr>
      <w:r w:rsidRPr="00F90DD8">
        <w:t>Zakon o proračunu (NN broj 144/21).</w:t>
      </w:r>
    </w:p>
    <w:p w14:paraId="4EBF6878" w14:textId="77777777" w:rsidR="007143FD" w:rsidRPr="00577A40" w:rsidRDefault="007143FD" w:rsidP="007143FD">
      <w:pPr>
        <w:numPr>
          <w:ilvl w:val="0"/>
          <w:numId w:val="1"/>
        </w:numPr>
        <w:contextualSpacing/>
        <w:jc w:val="both"/>
      </w:pPr>
      <w:r w:rsidRPr="00F90DD8">
        <w:t>Zakon o javnoj nabavi (NN broj 120/16</w:t>
      </w:r>
      <w:r>
        <w:t>, 114/22</w:t>
      </w:r>
      <w:r w:rsidRPr="00577A40">
        <w:t>),</w:t>
      </w:r>
    </w:p>
    <w:p w14:paraId="20179006" w14:textId="77777777" w:rsidR="007143FD" w:rsidRPr="00F90DD8" w:rsidRDefault="007143FD" w:rsidP="007143FD">
      <w:pPr>
        <w:numPr>
          <w:ilvl w:val="0"/>
          <w:numId w:val="1"/>
        </w:numPr>
        <w:contextualSpacing/>
        <w:jc w:val="both"/>
      </w:pPr>
      <w:r w:rsidRPr="00F90DD8">
        <w:t>Pravilnik o proračunskim klasifikacijama (NN broj 26/10, 120/13 i 1/20), Pravilnik o proračunskom računovodstvu i računskom planu (NN broj 124/14, 115/15, 87/16, 3/18, 126/19 i 108/20 ).</w:t>
      </w:r>
    </w:p>
    <w:p w14:paraId="42FCF425" w14:textId="2F57ADB8" w:rsidR="007143FD" w:rsidRDefault="007143FD" w:rsidP="007143FD">
      <w:pPr>
        <w:numPr>
          <w:ilvl w:val="0"/>
          <w:numId w:val="1"/>
        </w:numPr>
        <w:contextualSpacing/>
        <w:jc w:val="both"/>
      </w:pPr>
      <w:r w:rsidRPr="00F90DD8">
        <w:t>Pravilnik o financijskom izvještavanju u proračunskom računovodstvu (NN broj 37/22)</w:t>
      </w:r>
    </w:p>
    <w:p w14:paraId="51B04A7A" w14:textId="36DF21F3" w:rsidR="00016BC0" w:rsidRDefault="00016BC0" w:rsidP="007143FD">
      <w:pPr>
        <w:numPr>
          <w:ilvl w:val="0"/>
          <w:numId w:val="1"/>
        </w:numPr>
        <w:contextualSpacing/>
        <w:jc w:val="both"/>
      </w:pPr>
      <w:r>
        <w:t xml:space="preserve">Pravilnik o polugodišnjem i godišnjem izvještaju o izvršenju </w:t>
      </w:r>
      <w:r w:rsidR="0004179F">
        <w:t>proračuna i f</w:t>
      </w:r>
      <w:r>
        <w:t>inancijskog plana (NN br</w:t>
      </w:r>
      <w:r w:rsidR="0004179F">
        <w:t xml:space="preserve">oj </w:t>
      </w:r>
      <w:r>
        <w:t>85/23)</w:t>
      </w:r>
    </w:p>
    <w:p w14:paraId="1C71069F" w14:textId="77777777" w:rsidR="007143FD" w:rsidRDefault="007143FD" w:rsidP="007143FD">
      <w:pPr>
        <w:numPr>
          <w:ilvl w:val="0"/>
          <w:numId w:val="1"/>
        </w:numPr>
        <w:contextualSpacing/>
        <w:jc w:val="both"/>
      </w:pPr>
      <w:r>
        <w:t>Pravilnik o provedbi Nacionalne strategije za provedbu Školske sheme voća i povrća te mlijeka i mliječnih proizvoda od školske godine 2023./2024. do školske godine 2028./2029. (NN broj 81/2023)</w:t>
      </w:r>
    </w:p>
    <w:p w14:paraId="0EEE9306" w14:textId="2C5815EF" w:rsidR="007143FD" w:rsidRPr="00F90DD8" w:rsidRDefault="007143FD" w:rsidP="007143FD">
      <w:pPr>
        <w:numPr>
          <w:ilvl w:val="0"/>
          <w:numId w:val="1"/>
        </w:numPr>
        <w:contextualSpacing/>
        <w:jc w:val="both"/>
      </w:pPr>
      <w:r>
        <w:t>Odluka o kriterijima i načinu financiranja, odnosno sufinanciranja troškova prehrane za učenike osnovnih škola za školsku godinu 2023./2024.</w:t>
      </w:r>
    </w:p>
    <w:p w14:paraId="7D2F1198" w14:textId="77777777" w:rsidR="007143FD" w:rsidRPr="00F90DD8" w:rsidRDefault="007143FD" w:rsidP="007143FD">
      <w:pPr>
        <w:numPr>
          <w:ilvl w:val="0"/>
          <w:numId w:val="1"/>
        </w:numPr>
        <w:tabs>
          <w:tab w:val="left" w:pos="1140"/>
        </w:tabs>
        <w:contextualSpacing/>
        <w:jc w:val="both"/>
      </w:pPr>
      <w:r w:rsidRPr="00F90DD8">
        <w:t xml:space="preserve">Godišnji plan i program rada škole za školsku godinu 2023./2024. i 2024./2025. </w:t>
      </w:r>
    </w:p>
    <w:p w14:paraId="11C2F27A" w14:textId="77777777" w:rsidR="007143FD" w:rsidRPr="00F90DD8" w:rsidRDefault="007143FD" w:rsidP="007143FD">
      <w:pPr>
        <w:pStyle w:val="Odlomakpopisa"/>
        <w:numPr>
          <w:ilvl w:val="0"/>
          <w:numId w:val="1"/>
        </w:numPr>
        <w:jc w:val="both"/>
        <w:rPr>
          <w:rFonts w:eastAsiaTheme="minorHAnsi"/>
          <w:iCs/>
          <w:sz w:val="22"/>
          <w:szCs w:val="22"/>
          <w:lang w:eastAsia="en-US"/>
        </w:rPr>
      </w:pPr>
      <w:r w:rsidRPr="00F90DD8">
        <w:rPr>
          <w:sz w:val="22"/>
          <w:szCs w:val="22"/>
        </w:rPr>
        <w:t>Školski kurikulum OŠ „Braća Radić“, nastavne i izvannastavne aktivnosti za školsku godinu 2023./2024. i 2024./2025.</w:t>
      </w:r>
    </w:p>
    <w:p w14:paraId="3A50690C" w14:textId="77777777" w:rsidR="007143FD" w:rsidRPr="00DB4C30" w:rsidRDefault="007143FD" w:rsidP="00E744EF">
      <w:pPr>
        <w:jc w:val="both"/>
      </w:pPr>
    </w:p>
    <w:p w14:paraId="248BB78C" w14:textId="68912642" w:rsidR="00463397" w:rsidRPr="00DB4C30" w:rsidRDefault="00463397" w:rsidP="0067780D">
      <w:pPr>
        <w:jc w:val="center"/>
        <w:rPr>
          <w:b/>
        </w:rPr>
      </w:pPr>
      <w:r w:rsidRPr="00DB4C30">
        <w:rPr>
          <w:b/>
        </w:rPr>
        <w:t>OPĆI DIO</w:t>
      </w:r>
    </w:p>
    <w:p w14:paraId="68956C5F" w14:textId="45E88363" w:rsidR="00D15631" w:rsidRPr="00575685" w:rsidRDefault="0067780D" w:rsidP="00575685">
      <w:pPr>
        <w:jc w:val="center"/>
        <w:rPr>
          <w:b/>
        </w:rPr>
      </w:pPr>
      <w:r w:rsidRPr="00DB4C30">
        <w:rPr>
          <w:b/>
        </w:rPr>
        <w:t>PRIHODI I PRIMICI</w:t>
      </w:r>
    </w:p>
    <w:tbl>
      <w:tblPr>
        <w:tblStyle w:val="Reetkatablice"/>
        <w:tblW w:w="0" w:type="auto"/>
        <w:tblLook w:val="04A0" w:firstRow="1" w:lastRow="0" w:firstColumn="1" w:lastColumn="0" w:noHBand="0" w:noVBand="1"/>
      </w:tblPr>
      <w:tblGrid>
        <w:gridCol w:w="1071"/>
        <w:gridCol w:w="3617"/>
        <w:gridCol w:w="1541"/>
        <w:gridCol w:w="1923"/>
        <w:gridCol w:w="910"/>
      </w:tblGrid>
      <w:tr w:rsidR="000A3739" w:rsidRPr="007143FD" w14:paraId="36532643" w14:textId="77777777" w:rsidTr="005C2191">
        <w:tc>
          <w:tcPr>
            <w:tcW w:w="704" w:type="dxa"/>
            <w:shd w:val="clear" w:color="auto" w:fill="C6D9F1" w:themeFill="text2" w:themeFillTint="33"/>
          </w:tcPr>
          <w:p w14:paraId="34B5E732" w14:textId="77777777" w:rsidR="000A3739" w:rsidRPr="000A3739" w:rsidRDefault="000A3739" w:rsidP="00BB1CEE">
            <w:pPr>
              <w:jc w:val="center"/>
              <w:rPr>
                <w:b/>
              </w:rPr>
            </w:pPr>
          </w:p>
          <w:p w14:paraId="559559D7" w14:textId="15B3FB21" w:rsidR="000A3739" w:rsidRPr="000A3739" w:rsidRDefault="000A3739" w:rsidP="00BB1CEE">
            <w:pPr>
              <w:jc w:val="center"/>
              <w:rPr>
                <w:b/>
              </w:rPr>
            </w:pPr>
            <w:r w:rsidRPr="000A3739">
              <w:rPr>
                <w:b/>
              </w:rPr>
              <w:t>Skupina</w:t>
            </w:r>
          </w:p>
        </w:tc>
        <w:tc>
          <w:tcPr>
            <w:tcW w:w="4196" w:type="dxa"/>
            <w:shd w:val="clear" w:color="auto" w:fill="C6D9F1" w:themeFill="text2" w:themeFillTint="33"/>
          </w:tcPr>
          <w:p w14:paraId="7C83CE58" w14:textId="7FA7708A" w:rsidR="000A3739" w:rsidRPr="000A3739" w:rsidRDefault="000A3739" w:rsidP="00BB1CEE">
            <w:pPr>
              <w:jc w:val="center"/>
              <w:rPr>
                <w:b/>
              </w:rPr>
            </w:pPr>
          </w:p>
          <w:p w14:paraId="476B6635" w14:textId="3DABA272" w:rsidR="000A3739" w:rsidRPr="000A3739" w:rsidRDefault="000A3739" w:rsidP="00BB1CEE">
            <w:pPr>
              <w:jc w:val="center"/>
              <w:rPr>
                <w:b/>
              </w:rPr>
            </w:pPr>
            <w:r w:rsidRPr="000A3739">
              <w:rPr>
                <w:b/>
              </w:rPr>
              <w:t>VRSTA PRIHODA</w:t>
            </w:r>
          </w:p>
        </w:tc>
        <w:tc>
          <w:tcPr>
            <w:tcW w:w="1562" w:type="dxa"/>
            <w:shd w:val="clear" w:color="auto" w:fill="C6D9F1" w:themeFill="text2" w:themeFillTint="33"/>
          </w:tcPr>
          <w:p w14:paraId="7EEE448F" w14:textId="33598EB2" w:rsidR="000A3739" w:rsidRPr="000A3739" w:rsidRDefault="00E15959" w:rsidP="00BB1CEE">
            <w:pPr>
              <w:jc w:val="center"/>
              <w:rPr>
                <w:b/>
              </w:rPr>
            </w:pPr>
            <w:r>
              <w:rPr>
                <w:b/>
              </w:rPr>
              <w:t>Rebalans</w:t>
            </w:r>
            <w:r w:rsidR="000A3739" w:rsidRPr="000A3739">
              <w:rPr>
                <w:b/>
              </w:rPr>
              <w:t xml:space="preserve"> za 2024. godinu</w:t>
            </w:r>
          </w:p>
        </w:tc>
        <w:tc>
          <w:tcPr>
            <w:tcW w:w="1690" w:type="dxa"/>
            <w:shd w:val="clear" w:color="auto" w:fill="C6D9F1" w:themeFill="text2" w:themeFillTint="33"/>
          </w:tcPr>
          <w:p w14:paraId="15C92D3E" w14:textId="442654CB" w:rsidR="000A3739" w:rsidRPr="000A3739" w:rsidRDefault="000A3739" w:rsidP="00BB1CEE">
            <w:pPr>
              <w:jc w:val="center"/>
              <w:rPr>
                <w:b/>
              </w:rPr>
            </w:pPr>
            <w:r w:rsidRPr="000A3739">
              <w:rPr>
                <w:b/>
              </w:rPr>
              <w:t>Ostvarenje/EUR</w:t>
            </w:r>
          </w:p>
          <w:p w14:paraId="61D970C6" w14:textId="5F01BF00" w:rsidR="000A3739" w:rsidRPr="000A3739" w:rsidRDefault="000A3739" w:rsidP="00BB1CEE">
            <w:pPr>
              <w:jc w:val="center"/>
              <w:rPr>
                <w:b/>
              </w:rPr>
            </w:pPr>
            <w:r w:rsidRPr="000A3739">
              <w:rPr>
                <w:b/>
              </w:rPr>
              <w:t>01.01.-30.6.2024.</w:t>
            </w:r>
          </w:p>
        </w:tc>
        <w:tc>
          <w:tcPr>
            <w:tcW w:w="910" w:type="dxa"/>
            <w:shd w:val="clear" w:color="auto" w:fill="C6D9F1" w:themeFill="text2" w:themeFillTint="33"/>
          </w:tcPr>
          <w:p w14:paraId="6DC8402E" w14:textId="77777777" w:rsidR="000A3739" w:rsidRPr="000A3739" w:rsidRDefault="000A3739" w:rsidP="00BB1CEE">
            <w:pPr>
              <w:jc w:val="center"/>
              <w:rPr>
                <w:b/>
              </w:rPr>
            </w:pPr>
            <w:r w:rsidRPr="000A3739">
              <w:rPr>
                <w:b/>
              </w:rPr>
              <w:t>Indeks</w:t>
            </w:r>
          </w:p>
        </w:tc>
      </w:tr>
      <w:tr w:rsidR="000A3739" w:rsidRPr="007143FD" w14:paraId="564E8552" w14:textId="77777777" w:rsidTr="005C2191">
        <w:tc>
          <w:tcPr>
            <w:tcW w:w="704" w:type="dxa"/>
            <w:vAlign w:val="center"/>
          </w:tcPr>
          <w:p w14:paraId="066D2AD5" w14:textId="7F00A1F8" w:rsidR="000A3739" w:rsidRPr="000A3739" w:rsidRDefault="000A3739" w:rsidP="000A3739">
            <w:pPr>
              <w:jc w:val="center"/>
              <w:rPr>
                <w:b/>
              </w:rPr>
            </w:pPr>
            <w:r w:rsidRPr="000A3739">
              <w:rPr>
                <w:b/>
              </w:rPr>
              <w:t>63</w:t>
            </w:r>
          </w:p>
        </w:tc>
        <w:tc>
          <w:tcPr>
            <w:tcW w:w="4196" w:type="dxa"/>
          </w:tcPr>
          <w:p w14:paraId="2EEFB46E" w14:textId="5DA462BF" w:rsidR="000A3739" w:rsidRPr="000A3739" w:rsidRDefault="000A3739" w:rsidP="00BB1CEE">
            <w:pPr>
              <w:rPr>
                <w:bCs/>
              </w:rPr>
            </w:pPr>
            <w:r w:rsidRPr="000A3739">
              <w:rPr>
                <w:bCs/>
              </w:rPr>
              <w:t>Pomoći iz inozemstva i od subjekata unutar općeg proračuna</w:t>
            </w:r>
          </w:p>
        </w:tc>
        <w:tc>
          <w:tcPr>
            <w:tcW w:w="1562" w:type="dxa"/>
            <w:vAlign w:val="center"/>
          </w:tcPr>
          <w:p w14:paraId="3CE99C81" w14:textId="5F684BB1" w:rsidR="000A3739" w:rsidRPr="000A3739" w:rsidRDefault="000A3739" w:rsidP="005C2191">
            <w:pPr>
              <w:jc w:val="right"/>
              <w:rPr>
                <w:bCs/>
              </w:rPr>
            </w:pPr>
            <w:r w:rsidRPr="000A3739">
              <w:rPr>
                <w:bCs/>
              </w:rPr>
              <w:t>3.041.893,00</w:t>
            </w:r>
          </w:p>
        </w:tc>
        <w:tc>
          <w:tcPr>
            <w:tcW w:w="1690" w:type="dxa"/>
            <w:vAlign w:val="center"/>
          </w:tcPr>
          <w:p w14:paraId="6925D1B5" w14:textId="3223DC19" w:rsidR="000A3739" w:rsidRPr="000A3739" w:rsidRDefault="000A3739" w:rsidP="00BB1CEE">
            <w:pPr>
              <w:jc w:val="right"/>
              <w:rPr>
                <w:bCs/>
              </w:rPr>
            </w:pPr>
            <w:r w:rsidRPr="000A3739">
              <w:rPr>
                <w:bCs/>
              </w:rPr>
              <w:t>1.325.186,36</w:t>
            </w:r>
          </w:p>
        </w:tc>
        <w:tc>
          <w:tcPr>
            <w:tcW w:w="910" w:type="dxa"/>
            <w:vAlign w:val="center"/>
          </w:tcPr>
          <w:p w14:paraId="6AEB0C94" w14:textId="613310BA" w:rsidR="000A3739" w:rsidRPr="000A3739" w:rsidRDefault="000A3739" w:rsidP="00BB1CEE">
            <w:pPr>
              <w:jc w:val="center"/>
              <w:rPr>
                <w:bCs/>
              </w:rPr>
            </w:pPr>
            <w:r w:rsidRPr="000A3739">
              <w:rPr>
                <w:bCs/>
              </w:rPr>
              <w:t>44</w:t>
            </w:r>
          </w:p>
        </w:tc>
      </w:tr>
      <w:tr w:rsidR="000A3739" w:rsidRPr="007143FD" w14:paraId="2DD072C5" w14:textId="77777777" w:rsidTr="005C2191">
        <w:tc>
          <w:tcPr>
            <w:tcW w:w="704" w:type="dxa"/>
          </w:tcPr>
          <w:p w14:paraId="1FC58602" w14:textId="77777777" w:rsidR="000A3739" w:rsidRPr="000A3739" w:rsidRDefault="000A3739" w:rsidP="000A3739">
            <w:pPr>
              <w:jc w:val="center"/>
              <w:rPr>
                <w:b/>
              </w:rPr>
            </w:pPr>
          </w:p>
          <w:p w14:paraId="1394C2FA" w14:textId="2A7D30CA" w:rsidR="000A3739" w:rsidRPr="000A3739" w:rsidRDefault="000A3739" w:rsidP="000A3739">
            <w:pPr>
              <w:jc w:val="center"/>
              <w:rPr>
                <w:b/>
              </w:rPr>
            </w:pPr>
            <w:r w:rsidRPr="000A3739">
              <w:rPr>
                <w:b/>
              </w:rPr>
              <w:t>65</w:t>
            </w:r>
          </w:p>
        </w:tc>
        <w:tc>
          <w:tcPr>
            <w:tcW w:w="4196" w:type="dxa"/>
          </w:tcPr>
          <w:p w14:paraId="1D5D88DC" w14:textId="2510E102" w:rsidR="000A3739" w:rsidRPr="000A3739" w:rsidRDefault="000A3739" w:rsidP="00BB1CEE">
            <w:pPr>
              <w:rPr>
                <w:bCs/>
              </w:rPr>
            </w:pPr>
            <w:r w:rsidRPr="000A3739">
              <w:rPr>
                <w:bCs/>
              </w:rPr>
              <w:t>Prihodi od upravnih i administrativnih  pristojbi, pristojbi po posebnim propisima i naknadama</w:t>
            </w:r>
          </w:p>
        </w:tc>
        <w:tc>
          <w:tcPr>
            <w:tcW w:w="1562" w:type="dxa"/>
            <w:vAlign w:val="center"/>
          </w:tcPr>
          <w:p w14:paraId="16E045ED" w14:textId="77777777" w:rsidR="005C2191" w:rsidRDefault="005C2191" w:rsidP="005C2191">
            <w:pPr>
              <w:jc w:val="right"/>
              <w:rPr>
                <w:bCs/>
              </w:rPr>
            </w:pPr>
          </w:p>
          <w:p w14:paraId="7892EF52" w14:textId="34E74A5F" w:rsidR="000A3739" w:rsidRPr="000A3739" w:rsidRDefault="000A3739" w:rsidP="005C2191">
            <w:pPr>
              <w:jc w:val="right"/>
              <w:rPr>
                <w:bCs/>
              </w:rPr>
            </w:pPr>
            <w:r w:rsidRPr="000A3739">
              <w:rPr>
                <w:bCs/>
              </w:rPr>
              <w:t>21.131,00</w:t>
            </w:r>
          </w:p>
          <w:p w14:paraId="2858333E" w14:textId="37F42070" w:rsidR="000A3739" w:rsidRPr="000A3739" w:rsidRDefault="000A3739" w:rsidP="005C2191">
            <w:pPr>
              <w:jc w:val="right"/>
              <w:rPr>
                <w:bCs/>
              </w:rPr>
            </w:pPr>
          </w:p>
        </w:tc>
        <w:tc>
          <w:tcPr>
            <w:tcW w:w="1690" w:type="dxa"/>
            <w:vAlign w:val="center"/>
          </w:tcPr>
          <w:p w14:paraId="5AB2AAC3" w14:textId="53F0AB2A" w:rsidR="000A3739" w:rsidRPr="000A3739" w:rsidRDefault="000A3739" w:rsidP="00BB1CEE">
            <w:pPr>
              <w:jc w:val="right"/>
              <w:rPr>
                <w:bCs/>
              </w:rPr>
            </w:pPr>
            <w:r w:rsidRPr="000A3739">
              <w:rPr>
                <w:bCs/>
              </w:rPr>
              <w:t>3.723,88</w:t>
            </w:r>
          </w:p>
        </w:tc>
        <w:tc>
          <w:tcPr>
            <w:tcW w:w="910" w:type="dxa"/>
            <w:vAlign w:val="center"/>
          </w:tcPr>
          <w:p w14:paraId="134DE17F" w14:textId="7492BAEC" w:rsidR="000A3739" w:rsidRPr="000A3739" w:rsidRDefault="000A3739" w:rsidP="00BB1CEE">
            <w:pPr>
              <w:jc w:val="center"/>
              <w:rPr>
                <w:bCs/>
              </w:rPr>
            </w:pPr>
            <w:r w:rsidRPr="000A3739">
              <w:rPr>
                <w:bCs/>
              </w:rPr>
              <w:t>18</w:t>
            </w:r>
          </w:p>
        </w:tc>
      </w:tr>
      <w:tr w:rsidR="000A3739" w:rsidRPr="007143FD" w14:paraId="45AD8F86" w14:textId="77777777" w:rsidTr="005C2191">
        <w:tc>
          <w:tcPr>
            <w:tcW w:w="704" w:type="dxa"/>
          </w:tcPr>
          <w:p w14:paraId="1F613514" w14:textId="77777777" w:rsidR="000A3739" w:rsidRPr="000A3739" w:rsidRDefault="000A3739" w:rsidP="000A3739">
            <w:pPr>
              <w:jc w:val="center"/>
              <w:rPr>
                <w:b/>
              </w:rPr>
            </w:pPr>
          </w:p>
          <w:p w14:paraId="5E465848" w14:textId="77B2BF48" w:rsidR="000A3739" w:rsidRPr="000A3739" w:rsidRDefault="000A3739" w:rsidP="000A3739">
            <w:pPr>
              <w:jc w:val="center"/>
              <w:rPr>
                <w:b/>
              </w:rPr>
            </w:pPr>
            <w:r w:rsidRPr="000A3739">
              <w:rPr>
                <w:b/>
              </w:rPr>
              <w:t>66</w:t>
            </w:r>
          </w:p>
        </w:tc>
        <w:tc>
          <w:tcPr>
            <w:tcW w:w="4196" w:type="dxa"/>
          </w:tcPr>
          <w:p w14:paraId="6AABCA51" w14:textId="4D089B9B" w:rsidR="000A3739" w:rsidRPr="000A3739" w:rsidRDefault="000A3739" w:rsidP="00BB1CEE">
            <w:pPr>
              <w:rPr>
                <w:bCs/>
              </w:rPr>
            </w:pPr>
            <w:r w:rsidRPr="000A3739">
              <w:rPr>
                <w:bCs/>
              </w:rPr>
              <w:t>Prihodi od prodaje proizvoda i robe te pruženih usluga, prihodi od donacija</w:t>
            </w:r>
          </w:p>
        </w:tc>
        <w:tc>
          <w:tcPr>
            <w:tcW w:w="1562" w:type="dxa"/>
            <w:vAlign w:val="center"/>
          </w:tcPr>
          <w:p w14:paraId="5B7D67F5" w14:textId="51A40D7B" w:rsidR="000A3739" w:rsidRPr="000A3739" w:rsidRDefault="000A3739" w:rsidP="005C2191">
            <w:pPr>
              <w:jc w:val="right"/>
              <w:rPr>
                <w:bCs/>
              </w:rPr>
            </w:pPr>
            <w:r w:rsidRPr="000A3739">
              <w:rPr>
                <w:bCs/>
              </w:rPr>
              <w:t>16.506,00</w:t>
            </w:r>
          </w:p>
        </w:tc>
        <w:tc>
          <w:tcPr>
            <w:tcW w:w="1690" w:type="dxa"/>
            <w:vAlign w:val="center"/>
          </w:tcPr>
          <w:p w14:paraId="7509F65F" w14:textId="5B96B8E2" w:rsidR="000A3739" w:rsidRPr="000A3739" w:rsidRDefault="000A3739" w:rsidP="00BB1CEE">
            <w:pPr>
              <w:jc w:val="right"/>
              <w:rPr>
                <w:bCs/>
              </w:rPr>
            </w:pPr>
            <w:r w:rsidRPr="000A3739">
              <w:rPr>
                <w:bCs/>
              </w:rPr>
              <w:t>10.714,37</w:t>
            </w:r>
          </w:p>
        </w:tc>
        <w:tc>
          <w:tcPr>
            <w:tcW w:w="910" w:type="dxa"/>
            <w:vAlign w:val="center"/>
          </w:tcPr>
          <w:p w14:paraId="1A3D8896" w14:textId="627BF6F8" w:rsidR="000A3739" w:rsidRPr="000A3739" w:rsidRDefault="000A3739" w:rsidP="00BB1CEE">
            <w:pPr>
              <w:jc w:val="center"/>
              <w:rPr>
                <w:bCs/>
              </w:rPr>
            </w:pPr>
            <w:r w:rsidRPr="000A3739">
              <w:rPr>
                <w:bCs/>
              </w:rPr>
              <w:t>65</w:t>
            </w:r>
          </w:p>
        </w:tc>
      </w:tr>
      <w:tr w:rsidR="000A3739" w:rsidRPr="007143FD" w14:paraId="7034ABC0" w14:textId="77777777" w:rsidTr="005C2191">
        <w:tc>
          <w:tcPr>
            <w:tcW w:w="704" w:type="dxa"/>
            <w:vAlign w:val="center"/>
          </w:tcPr>
          <w:p w14:paraId="13C37991" w14:textId="6F3E06EC" w:rsidR="000A3739" w:rsidRPr="000A3739" w:rsidRDefault="000A3739" w:rsidP="000A3739">
            <w:pPr>
              <w:jc w:val="center"/>
              <w:rPr>
                <w:b/>
              </w:rPr>
            </w:pPr>
            <w:r w:rsidRPr="000A3739">
              <w:rPr>
                <w:b/>
              </w:rPr>
              <w:t>67</w:t>
            </w:r>
          </w:p>
        </w:tc>
        <w:tc>
          <w:tcPr>
            <w:tcW w:w="4196" w:type="dxa"/>
          </w:tcPr>
          <w:p w14:paraId="4C6CD388" w14:textId="4BB5AD3A" w:rsidR="000A3739" w:rsidRPr="000A3739" w:rsidRDefault="000A3739" w:rsidP="00BB1CEE">
            <w:pPr>
              <w:rPr>
                <w:bCs/>
              </w:rPr>
            </w:pPr>
            <w:r w:rsidRPr="000A3739">
              <w:rPr>
                <w:bCs/>
              </w:rPr>
              <w:t>Prihodi iz nadležnog proračuna i od HZZO-a temeljem ugovornih obveza</w:t>
            </w:r>
          </w:p>
        </w:tc>
        <w:tc>
          <w:tcPr>
            <w:tcW w:w="1562" w:type="dxa"/>
            <w:vAlign w:val="center"/>
          </w:tcPr>
          <w:p w14:paraId="05FBD549" w14:textId="7A9F19B0" w:rsidR="000A3739" w:rsidRPr="000A3739" w:rsidRDefault="000A3739" w:rsidP="005C2191">
            <w:pPr>
              <w:jc w:val="right"/>
              <w:rPr>
                <w:bCs/>
              </w:rPr>
            </w:pPr>
            <w:r w:rsidRPr="000A3739">
              <w:rPr>
                <w:bCs/>
              </w:rPr>
              <w:t>566.854,00</w:t>
            </w:r>
          </w:p>
        </w:tc>
        <w:tc>
          <w:tcPr>
            <w:tcW w:w="1690" w:type="dxa"/>
            <w:vAlign w:val="center"/>
          </w:tcPr>
          <w:p w14:paraId="293212EF" w14:textId="34F6565F" w:rsidR="000A3739" w:rsidRPr="000A3739" w:rsidRDefault="000A3739" w:rsidP="00BB1CEE">
            <w:pPr>
              <w:jc w:val="right"/>
              <w:rPr>
                <w:bCs/>
              </w:rPr>
            </w:pPr>
            <w:r w:rsidRPr="000A3739">
              <w:rPr>
                <w:bCs/>
              </w:rPr>
              <w:t>240.642,55</w:t>
            </w:r>
          </w:p>
        </w:tc>
        <w:tc>
          <w:tcPr>
            <w:tcW w:w="910" w:type="dxa"/>
            <w:vAlign w:val="center"/>
          </w:tcPr>
          <w:p w14:paraId="010D2442" w14:textId="120DB11F" w:rsidR="000A3739" w:rsidRPr="000A3739" w:rsidRDefault="000A3739" w:rsidP="00BB1CEE">
            <w:pPr>
              <w:jc w:val="center"/>
              <w:rPr>
                <w:bCs/>
              </w:rPr>
            </w:pPr>
            <w:r w:rsidRPr="000A3739">
              <w:rPr>
                <w:bCs/>
              </w:rPr>
              <w:t>42</w:t>
            </w:r>
          </w:p>
        </w:tc>
      </w:tr>
      <w:tr w:rsidR="000A3739" w:rsidRPr="007143FD" w14:paraId="1E3FDF75" w14:textId="77777777" w:rsidTr="005C2191">
        <w:tc>
          <w:tcPr>
            <w:tcW w:w="704" w:type="dxa"/>
            <w:vAlign w:val="center"/>
          </w:tcPr>
          <w:p w14:paraId="30558E38" w14:textId="41981737" w:rsidR="000A3739" w:rsidRPr="000A3739" w:rsidRDefault="000A3739" w:rsidP="000A3739">
            <w:pPr>
              <w:jc w:val="center"/>
              <w:rPr>
                <w:b/>
              </w:rPr>
            </w:pPr>
            <w:r w:rsidRPr="000A3739">
              <w:rPr>
                <w:b/>
              </w:rPr>
              <w:t>72</w:t>
            </w:r>
          </w:p>
        </w:tc>
        <w:tc>
          <w:tcPr>
            <w:tcW w:w="4196" w:type="dxa"/>
          </w:tcPr>
          <w:p w14:paraId="4485FDC1" w14:textId="4D1B6DF1" w:rsidR="000A3739" w:rsidRPr="000A3739" w:rsidRDefault="000A3739" w:rsidP="00F85EFF">
            <w:pPr>
              <w:rPr>
                <w:bCs/>
              </w:rPr>
            </w:pPr>
            <w:r w:rsidRPr="000A3739">
              <w:rPr>
                <w:bCs/>
              </w:rPr>
              <w:t>Prihodi od prodaje proizvedene dug. imovine</w:t>
            </w:r>
          </w:p>
        </w:tc>
        <w:tc>
          <w:tcPr>
            <w:tcW w:w="1562" w:type="dxa"/>
            <w:vAlign w:val="center"/>
          </w:tcPr>
          <w:p w14:paraId="6364A67C" w14:textId="27EDA131" w:rsidR="000A3739" w:rsidRPr="000A3739" w:rsidRDefault="000A3739" w:rsidP="005C2191">
            <w:pPr>
              <w:jc w:val="right"/>
              <w:rPr>
                <w:bCs/>
              </w:rPr>
            </w:pPr>
            <w:r w:rsidRPr="000A3739">
              <w:rPr>
                <w:bCs/>
              </w:rPr>
              <w:t>112,00</w:t>
            </w:r>
          </w:p>
        </w:tc>
        <w:tc>
          <w:tcPr>
            <w:tcW w:w="1690" w:type="dxa"/>
            <w:vAlign w:val="center"/>
          </w:tcPr>
          <w:p w14:paraId="2753C6EE" w14:textId="3B7D6DE1" w:rsidR="000A3739" w:rsidRPr="000A3739" w:rsidRDefault="000A3739" w:rsidP="00F85EFF">
            <w:pPr>
              <w:jc w:val="right"/>
              <w:rPr>
                <w:bCs/>
              </w:rPr>
            </w:pPr>
            <w:r w:rsidRPr="000A3739">
              <w:rPr>
                <w:bCs/>
              </w:rPr>
              <w:t>0,00</w:t>
            </w:r>
          </w:p>
        </w:tc>
        <w:tc>
          <w:tcPr>
            <w:tcW w:w="910" w:type="dxa"/>
            <w:vAlign w:val="center"/>
          </w:tcPr>
          <w:p w14:paraId="540350CE" w14:textId="081E44AE" w:rsidR="000A3739" w:rsidRPr="000A3739" w:rsidRDefault="000A3739" w:rsidP="00F85EFF">
            <w:pPr>
              <w:jc w:val="center"/>
              <w:rPr>
                <w:bCs/>
              </w:rPr>
            </w:pPr>
            <w:r w:rsidRPr="000A3739">
              <w:rPr>
                <w:bCs/>
              </w:rPr>
              <w:t>0</w:t>
            </w:r>
          </w:p>
        </w:tc>
      </w:tr>
      <w:tr w:rsidR="000A3739" w:rsidRPr="007143FD" w14:paraId="01CD3CBA" w14:textId="77777777" w:rsidTr="005C2191">
        <w:tc>
          <w:tcPr>
            <w:tcW w:w="704" w:type="dxa"/>
          </w:tcPr>
          <w:p w14:paraId="253EC090" w14:textId="77777777" w:rsidR="000A3739" w:rsidRPr="000A3739" w:rsidRDefault="000A3739" w:rsidP="00F85EFF">
            <w:pPr>
              <w:jc w:val="right"/>
              <w:rPr>
                <w:bCs/>
              </w:rPr>
            </w:pPr>
          </w:p>
        </w:tc>
        <w:tc>
          <w:tcPr>
            <w:tcW w:w="4196" w:type="dxa"/>
          </w:tcPr>
          <w:p w14:paraId="136C3F35" w14:textId="5D3DC1C0" w:rsidR="000A3739" w:rsidRPr="005C2191" w:rsidRDefault="000A3739" w:rsidP="00F85EFF">
            <w:pPr>
              <w:jc w:val="right"/>
              <w:rPr>
                <w:b/>
              </w:rPr>
            </w:pPr>
            <w:r w:rsidRPr="005C2191">
              <w:rPr>
                <w:b/>
              </w:rPr>
              <w:t>UKUPNO:</w:t>
            </w:r>
          </w:p>
        </w:tc>
        <w:tc>
          <w:tcPr>
            <w:tcW w:w="1562" w:type="dxa"/>
            <w:vAlign w:val="center"/>
          </w:tcPr>
          <w:p w14:paraId="3AC19478" w14:textId="7B47FCAA" w:rsidR="000A3739" w:rsidRPr="005C2191" w:rsidRDefault="005C2191" w:rsidP="00F85EFF">
            <w:pPr>
              <w:jc w:val="right"/>
              <w:rPr>
                <w:b/>
              </w:rPr>
            </w:pPr>
            <w:r w:rsidRPr="005C2191">
              <w:rPr>
                <w:b/>
              </w:rPr>
              <w:t xml:space="preserve"> </w:t>
            </w:r>
            <w:r w:rsidR="000A3739" w:rsidRPr="005C2191">
              <w:rPr>
                <w:b/>
              </w:rPr>
              <w:t>3.646.496,00</w:t>
            </w:r>
          </w:p>
        </w:tc>
        <w:tc>
          <w:tcPr>
            <w:tcW w:w="1690" w:type="dxa"/>
            <w:vAlign w:val="center"/>
          </w:tcPr>
          <w:p w14:paraId="2F698C9F" w14:textId="5CB98113" w:rsidR="000A3739" w:rsidRPr="005C2191" w:rsidRDefault="000A3739" w:rsidP="00F85EFF">
            <w:pPr>
              <w:jc w:val="right"/>
              <w:rPr>
                <w:b/>
              </w:rPr>
            </w:pPr>
            <w:r w:rsidRPr="005C2191">
              <w:rPr>
                <w:b/>
              </w:rPr>
              <w:t>1.580.267,16</w:t>
            </w:r>
          </w:p>
        </w:tc>
        <w:tc>
          <w:tcPr>
            <w:tcW w:w="910" w:type="dxa"/>
            <w:vAlign w:val="center"/>
          </w:tcPr>
          <w:p w14:paraId="7F447F1B" w14:textId="376F84A8" w:rsidR="000A3739" w:rsidRPr="005C2191" w:rsidRDefault="000A3739" w:rsidP="00F85EFF">
            <w:pPr>
              <w:jc w:val="center"/>
              <w:rPr>
                <w:b/>
              </w:rPr>
            </w:pPr>
            <w:r w:rsidRPr="005C2191">
              <w:rPr>
                <w:b/>
              </w:rPr>
              <w:t>43</w:t>
            </w:r>
          </w:p>
        </w:tc>
      </w:tr>
    </w:tbl>
    <w:p w14:paraId="399F603F" w14:textId="77777777" w:rsidR="00DC1310" w:rsidRPr="007143FD" w:rsidRDefault="00DC1310" w:rsidP="007D030B">
      <w:pPr>
        <w:jc w:val="both"/>
        <w:rPr>
          <w:bCs/>
          <w:color w:val="FF0000"/>
        </w:rPr>
      </w:pPr>
    </w:p>
    <w:p w14:paraId="2BB02F8E" w14:textId="5F418A96" w:rsidR="00D12214" w:rsidRPr="00885710" w:rsidRDefault="00D12214" w:rsidP="00741750">
      <w:pPr>
        <w:ind w:firstLine="708"/>
        <w:jc w:val="both"/>
        <w:rPr>
          <w:bCs/>
        </w:rPr>
      </w:pPr>
      <w:r w:rsidRPr="005E5FBB">
        <w:rPr>
          <w:bCs/>
        </w:rPr>
        <w:t>Kao što se vidi iz gore navedene tablice prihoda/primitaka, manji indeks</w:t>
      </w:r>
      <w:r w:rsidR="005E5FBB" w:rsidRPr="005E5FBB">
        <w:rPr>
          <w:bCs/>
        </w:rPr>
        <w:t xml:space="preserve"> od 18</w:t>
      </w:r>
      <w:r w:rsidRPr="005E5FBB">
        <w:rPr>
          <w:bCs/>
        </w:rPr>
        <w:t xml:space="preserve"> u odnosu na plan</w:t>
      </w:r>
      <w:r w:rsidRPr="005E5FBB">
        <w:rPr>
          <w:b/>
        </w:rPr>
        <w:t xml:space="preserve"> </w:t>
      </w:r>
      <w:r w:rsidRPr="005E5FBB">
        <w:rPr>
          <w:bCs/>
        </w:rPr>
        <w:t>ima</w:t>
      </w:r>
      <w:r w:rsidR="004E00DA">
        <w:rPr>
          <w:bCs/>
        </w:rPr>
        <w:t xml:space="preserve"> skupina </w:t>
      </w:r>
      <w:r w:rsidRPr="005E5FBB">
        <w:rPr>
          <w:b/>
        </w:rPr>
        <w:t>65 Prihodi od upravnih i administrativnih</w:t>
      </w:r>
      <w:r w:rsidR="002E14B5" w:rsidRPr="005E5FBB">
        <w:rPr>
          <w:b/>
        </w:rPr>
        <w:t xml:space="preserve"> </w:t>
      </w:r>
      <w:r w:rsidRPr="005E5FBB">
        <w:rPr>
          <w:b/>
        </w:rPr>
        <w:t>pristojbi, pristojbi po posebnim propisima i naknadama</w:t>
      </w:r>
      <w:r w:rsidRPr="005E5FBB">
        <w:rPr>
          <w:bCs/>
        </w:rPr>
        <w:t xml:space="preserve"> na koje knjižimo prihode od roditelja za popravke tableta, za osiguranje učenika</w:t>
      </w:r>
      <w:r w:rsidR="005E5FBB" w:rsidRPr="005E5FBB">
        <w:rPr>
          <w:bCs/>
        </w:rPr>
        <w:t>, za školsku kuhinju (iz 2022. godine i ranije)</w:t>
      </w:r>
      <w:r w:rsidRPr="005E5FBB">
        <w:rPr>
          <w:bCs/>
        </w:rPr>
        <w:t xml:space="preserve"> i majice za učenike koj</w:t>
      </w:r>
      <w:r w:rsidR="002E14B5" w:rsidRPr="005E5FBB">
        <w:rPr>
          <w:bCs/>
        </w:rPr>
        <w:t>i</w:t>
      </w:r>
      <w:r w:rsidRPr="005E5FBB">
        <w:rPr>
          <w:bCs/>
        </w:rPr>
        <w:t xml:space="preserve"> će biti realizirani s početkom nove školske godine 202</w:t>
      </w:r>
      <w:r w:rsidR="005E5FBB" w:rsidRPr="005E5FBB">
        <w:rPr>
          <w:bCs/>
        </w:rPr>
        <w:t>4</w:t>
      </w:r>
      <w:r w:rsidRPr="005E5FBB">
        <w:rPr>
          <w:bCs/>
        </w:rPr>
        <w:t>./202</w:t>
      </w:r>
      <w:r w:rsidR="005E5FBB" w:rsidRPr="005E5FBB">
        <w:rPr>
          <w:bCs/>
        </w:rPr>
        <w:t>5</w:t>
      </w:r>
      <w:r w:rsidRPr="005E5FBB">
        <w:rPr>
          <w:bCs/>
        </w:rPr>
        <w:t>.</w:t>
      </w:r>
      <w:r w:rsidR="005E5FBB" w:rsidRPr="005E5FBB">
        <w:rPr>
          <w:bCs/>
        </w:rPr>
        <w:t>.</w:t>
      </w:r>
      <w:r w:rsidR="00885710">
        <w:rPr>
          <w:bCs/>
        </w:rPr>
        <w:t xml:space="preserve"> Skupina </w:t>
      </w:r>
      <w:r w:rsidR="00885710" w:rsidRPr="00885710">
        <w:rPr>
          <w:b/>
        </w:rPr>
        <w:t>67 Prihodi iz nadležnog proračuna i od HZZO-a temeljem ugovornih obveza</w:t>
      </w:r>
      <w:r w:rsidR="00885710">
        <w:rPr>
          <w:b/>
        </w:rPr>
        <w:t xml:space="preserve"> </w:t>
      </w:r>
      <w:r w:rsidR="00885710" w:rsidRPr="00885710">
        <w:rPr>
          <w:bCs/>
        </w:rPr>
        <w:t>ima indeks 42</w:t>
      </w:r>
      <w:r w:rsidR="00885710">
        <w:rPr>
          <w:bCs/>
        </w:rPr>
        <w:t xml:space="preserve"> jer rashodi koji su fakturirani za lipanj nisu naplaćeni u lipnju, već će biti naplaćeni u srpnju i kolovozu. Skupina </w:t>
      </w:r>
      <w:r w:rsidR="00885710" w:rsidRPr="00885710">
        <w:rPr>
          <w:b/>
        </w:rPr>
        <w:t>63 Pomoći iz inozemstva i od subjekata unutar općeg proračuna</w:t>
      </w:r>
      <w:r w:rsidR="00885710">
        <w:rPr>
          <w:b/>
        </w:rPr>
        <w:t xml:space="preserve"> </w:t>
      </w:r>
      <w:r w:rsidR="00885710" w:rsidRPr="00885710">
        <w:rPr>
          <w:bCs/>
        </w:rPr>
        <w:t>bilježi indeks 44, a</w:t>
      </w:r>
      <w:r w:rsidR="00885710">
        <w:rPr>
          <w:bCs/>
        </w:rPr>
        <w:t xml:space="preserve"> na nju knjižimo prihod za školsku kuhinju, ŽSV-e, udžbenike, a </w:t>
      </w:r>
      <w:r w:rsidR="00885710" w:rsidRPr="00885710">
        <w:rPr>
          <w:bCs/>
        </w:rPr>
        <w:t>najveći dio se odnosi na plaće i materijalna prava zaposlenika</w:t>
      </w:r>
      <w:r w:rsidR="00885710">
        <w:rPr>
          <w:bCs/>
        </w:rPr>
        <w:t>. Ostatak te skupine će se realizirati u drugom polugodištu godine</w:t>
      </w:r>
      <w:r w:rsidR="00575685">
        <w:rPr>
          <w:bCs/>
        </w:rPr>
        <w:t xml:space="preserve"> jer je nabava udžbenika pokrenuta tek početkom srpnja.</w:t>
      </w:r>
      <w:r w:rsidR="00885710">
        <w:rPr>
          <w:bCs/>
        </w:rPr>
        <w:t xml:space="preserve"> </w:t>
      </w:r>
      <w:r w:rsidR="00885710" w:rsidRPr="003D2F2D">
        <w:rPr>
          <w:bCs/>
        </w:rPr>
        <w:t>Skupina</w:t>
      </w:r>
      <w:r w:rsidR="00885710" w:rsidRPr="003D2F2D">
        <w:rPr>
          <w:b/>
        </w:rPr>
        <w:t xml:space="preserve"> 66 Prihodi od prodaje proizvoda i robe te pruženih usluga, prihodi od donacija </w:t>
      </w:r>
      <w:r w:rsidR="00885710">
        <w:rPr>
          <w:bCs/>
        </w:rPr>
        <w:t xml:space="preserve">bilježi indeks 65, </w:t>
      </w:r>
      <w:r w:rsidR="003D2F2D">
        <w:rPr>
          <w:bCs/>
        </w:rPr>
        <w:t>jer smo donaciju od Kauflanda dobivali samo</w:t>
      </w:r>
      <w:r w:rsidR="00575685">
        <w:rPr>
          <w:bCs/>
        </w:rPr>
        <w:t xml:space="preserve"> do </w:t>
      </w:r>
      <w:r w:rsidR="003D2F2D">
        <w:rPr>
          <w:bCs/>
        </w:rPr>
        <w:t xml:space="preserve"> kraja školske godine 2023./2024., a u slijedećoj školskoj godini nećemo više dobivati </w:t>
      </w:r>
      <w:r w:rsidR="00575685">
        <w:rPr>
          <w:bCs/>
        </w:rPr>
        <w:t xml:space="preserve">donaciju </w:t>
      </w:r>
      <w:r w:rsidR="003D2F2D">
        <w:rPr>
          <w:bCs/>
        </w:rPr>
        <w:t>voć</w:t>
      </w:r>
      <w:r w:rsidR="00575685">
        <w:rPr>
          <w:bCs/>
        </w:rPr>
        <w:t>a</w:t>
      </w:r>
      <w:r w:rsidR="003D2F2D">
        <w:rPr>
          <w:bCs/>
        </w:rPr>
        <w:t xml:space="preserve"> od Kauflanda.</w:t>
      </w:r>
    </w:p>
    <w:p w14:paraId="753250A4" w14:textId="77777777" w:rsidR="00D12214" w:rsidRPr="00885710" w:rsidRDefault="00D12214" w:rsidP="00E63983">
      <w:pPr>
        <w:rPr>
          <w:bCs/>
          <w:color w:val="FF0000"/>
        </w:rPr>
      </w:pPr>
    </w:p>
    <w:p w14:paraId="64E07521" w14:textId="46881350" w:rsidR="008E74CE" w:rsidRPr="00885710" w:rsidRDefault="009C1B10" w:rsidP="00575685">
      <w:pPr>
        <w:jc w:val="both"/>
        <w:rPr>
          <w:b/>
        </w:rPr>
      </w:pPr>
      <w:r w:rsidRPr="00885710">
        <w:rPr>
          <w:b/>
        </w:rPr>
        <w:t>Obrazloženje izvršenja planiranih prihoda</w:t>
      </w:r>
      <w:r w:rsidR="0067780D" w:rsidRPr="00885710">
        <w:rPr>
          <w:b/>
        </w:rPr>
        <w:t xml:space="preserve"> i primitaka</w:t>
      </w:r>
      <w:r w:rsidR="00575685">
        <w:rPr>
          <w:b/>
        </w:rPr>
        <w:t xml:space="preserve"> po odjeljcima</w:t>
      </w:r>
      <w:r w:rsidRPr="00885710">
        <w:rPr>
          <w:b/>
        </w:rPr>
        <w:t xml:space="preserve"> u razdoblju siječanj-lipanj 202</w:t>
      </w:r>
      <w:r w:rsidR="00885710" w:rsidRPr="00885710">
        <w:rPr>
          <w:b/>
        </w:rPr>
        <w:t>4</w:t>
      </w:r>
      <w:r w:rsidRPr="00885710">
        <w:rPr>
          <w:b/>
        </w:rPr>
        <w:t>. godine:</w:t>
      </w:r>
    </w:p>
    <w:p w14:paraId="1641A39C" w14:textId="77777777" w:rsidR="00D12214" w:rsidRPr="007143FD" w:rsidRDefault="00D12214" w:rsidP="007D030B">
      <w:pPr>
        <w:jc w:val="both"/>
        <w:rPr>
          <w:bCs/>
          <w:color w:val="FF0000"/>
        </w:rPr>
      </w:pPr>
    </w:p>
    <w:p w14:paraId="6B940287" w14:textId="6ED257ED" w:rsidR="004E00DA" w:rsidRPr="004E00DA" w:rsidRDefault="00D13890" w:rsidP="004E00DA">
      <w:pPr>
        <w:ind w:firstLine="708"/>
        <w:jc w:val="both"/>
        <w:rPr>
          <w:sz w:val="22"/>
          <w:szCs w:val="22"/>
        </w:rPr>
      </w:pPr>
      <w:r>
        <w:rPr>
          <w:b/>
        </w:rPr>
        <w:t xml:space="preserve">Odjeljak </w:t>
      </w:r>
      <w:r w:rsidRPr="004E00DA">
        <w:rPr>
          <w:b/>
        </w:rPr>
        <w:t>6361</w:t>
      </w:r>
      <w:r w:rsidR="001810E2" w:rsidRPr="004E00DA">
        <w:rPr>
          <w:b/>
        </w:rPr>
        <w:t xml:space="preserve">Tekuće pomoći proračunskim korisnicima iz proračuna koji im nije nadležan </w:t>
      </w:r>
      <w:r w:rsidR="001810E2" w:rsidRPr="004E00DA">
        <w:rPr>
          <w:bCs/>
        </w:rPr>
        <w:t xml:space="preserve"> </w:t>
      </w:r>
      <w:r w:rsidR="000D3C24" w:rsidRPr="004E00DA">
        <w:rPr>
          <w:bCs/>
        </w:rPr>
        <w:t xml:space="preserve">ima ostvarenje od </w:t>
      </w:r>
      <w:r w:rsidR="00885710" w:rsidRPr="004E00DA">
        <w:rPr>
          <w:bCs/>
        </w:rPr>
        <w:t>1.288.244,00 EUR</w:t>
      </w:r>
      <w:r w:rsidR="004E00DA" w:rsidRPr="004E00DA">
        <w:rPr>
          <w:bCs/>
        </w:rPr>
        <w:t xml:space="preserve"> te ima indeks 125 u odnosu na isto razdoblje prošle godine. Najveći razlog tomu je </w:t>
      </w:r>
      <w:r w:rsidR="004E00DA" w:rsidRPr="004E00DA">
        <w:rPr>
          <w:sz w:val="22"/>
          <w:szCs w:val="22"/>
        </w:rPr>
        <w:t xml:space="preserve">nova </w:t>
      </w:r>
      <w:r w:rsidR="004E00DA" w:rsidRPr="004E00DA">
        <w:rPr>
          <w:i/>
          <w:iCs/>
          <w:sz w:val="22"/>
          <w:szCs w:val="22"/>
        </w:rPr>
        <w:t>Uredba o nazivima radnih mjesta, uvjetima za raspored i koeficijentima za obračun plaće u javnim službama</w:t>
      </w:r>
      <w:r w:rsidR="004E00DA" w:rsidRPr="004E00DA">
        <w:rPr>
          <w:sz w:val="22"/>
          <w:szCs w:val="22"/>
        </w:rPr>
        <w:t xml:space="preserve"> s kojom se svim zaposlenicima povećala osnovna plaća, a koja je u primjeni od 01.03.2024. godine. Također je novim Kolektivnim ugovorom za zaposlene u javnim i državnim službama osigurano novo materijalno pravo za sve zaposlenike, a to je uskrsnica. </w:t>
      </w:r>
    </w:p>
    <w:p w14:paraId="60C41FDD" w14:textId="769C59C8" w:rsidR="001810E2" w:rsidRPr="004E00DA" w:rsidRDefault="00D13890" w:rsidP="004E00DA">
      <w:pPr>
        <w:ind w:firstLine="708"/>
        <w:jc w:val="both"/>
        <w:rPr>
          <w:bCs/>
        </w:rPr>
      </w:pPr>
      <w:r>
        <w:rPr>
          <w:b/>
        </w:rPr>
        <w:t>Odjeljak 6362</w:t>
      </w:r>
      <w:r w:rsidR="001810E2" w:rsidRPr="004E00DA">
        <w:rPr>
          <w:b/>
        </w:rPr>
        <w:t>Kapitalne pomoći</w:t>
      </w:r>
      <w:r w:rsidR="00FE341E" w:rsidRPr="004E00DA">
        <w:rPr>
          <w:b/>
        </w:rPr>
        <w:t xml:space="preserve"> proračunskim korisnicima iz proračuna koji im nije nadležan </w:t>
      </w:r>
      <w:r w:rsidR="008E74CE" w:rsidRPr="004E00DA">
        <w:rPr>
          <w:bCs/>
        </w:rPr>
        <w:t>iznos</w:t>
      </w:r>
      <w:r>
        <w:rPr>
          <w:bCs/>
        </w:rPr>
        <w:t>i</w:t>
      </w:r>
      <w:r w:rsidR="008E74CE" w:rsidRPr="004E00DA">
        <w:rPr>
          <w:bCs/>
        </w:rPr>
        <w:t xml:space="preserve"> </w:t>
      </w:r>
      <w:r w:rsidR="004E00DA" w:rsidRPr="004E00DA">
        <w:rPr>
          <w:bCs/>
        </w:rPr>
        <w:t xml:space="preserve">78,08 </w:t>
      </w:r>
      <w:r w:rsidR="005F3685" w:rsidRPr="004E00DA">
        <w:rPr>
          <w:bCs/>
        </w:rPr>
        <w:t xml:space="preserve">EUR </w:t>
      </w:r>
      <w:r w:rsidR="004E00DA" w:rsidRPr="004E00DA">
        <w:rPr>
          <w:bCs/>
        </w:rPr>
        <w:t xml:space="preserve">jer smo </w:t>
      </w:r>
      <w:r w:rsidR="005F3685" w:rsidRPr="004E00DA">
        <w:rPr>
          <w:bCs/>
        </w:rPr>
        <w:t>ove godine imali</w:t>
      </w:r>
      <w:r w:rsidR="00D1379F" w:rsidRPr="004E00DA">
        <w:rPr>
          <w:bCs/>
        </w:rPr>
        <w:t xml:space="preserve"> dodatn</w:t>
      </w:r>
      <w:r w:rsidR="005F3685" w:rsidRPr="004E00DA">
        <w:rPr>
          <w:bCs/>
        </w:rPr>
        <w:t>u</w:t>
      </w:r>
      <w:r w:rsidR="00D1379F" w:rsidRPr="004E00DA">
        <w:rPr>
          <w:bCs/>
        </w:rPr>
        <w:t xml:space="preserve"> narudžb</w:t>
      </w:r>
      <w:r w:rsidR="005F3685" w:rsidRPr="004E00DA">
        <w:rPr>
          <w:bCs/>
        </w:rPr>
        <w:t>u</w:t>
      </w:r>
      <w:r w:rsidR="00D1379F" w:rsidRPr="004E00DA">
        <w:rPr>
          <w:bCs/>
        </w:rPr>
        <w:t xml:space="preserve"> udžbenika za novoupisane učenike</w:t>
      </w:r>
      <w:r w:rsidR="004E00DA" w:rsidRPr="004E00DA">
        <w:rPr>
          <w:bCs/>
        </w:rPr>
        <w:t xml:space="preserve">, a </w:t>
      </w:r>
      <w:r w:rsidR="005F3685" w:rsidRPr="004E00DA">
        <w:rPr>
          <w:bCs/>
        </w:rPr>
        <w:t>prošle godine</w:t>
      </w:r>
      <w:r w:rsidR="004E00DA" w:rsidRPr="004E00DA">
        <w:rPr>
          <w:bCs/>
        </w:rPr>
        <w:t xml:space="preserve"> nismo pa je stanje 0,00 EUR</w:t>
      </w:r>
      <w:r w:rsidR="00CE55D0" w:rsidRPr="004E00DA">
        <w:rPr>
          <w:bCs/>
        </w:rPr>
        <w:t>. Ostatak će biti realiziran kad primimo sredstva od Ministarstva za naručene udžbenike za učenike škole</w:t>
      </w:r>
      <w:r w:rsidR="005F3685" w:rsidRPr="004E00DA">
        <w:rPr>
          <w:bCs/>
        </w:rPr>
        <w:t xml:space="preserve"> za novu školsku godinu.</w:t>
      </w:r>
    </w:p>
    <w:p w14:paraId="717672BF" w14:textId="07979609" w:rsidR="00C775DE" w:rsidRPr="00C775DE" w:rsidRDefault="00C464D3" w:rsidP="005A5479">
      <w:pPr>
        <w:ind w:firstLine="708"/>
        <w:jc w:val="both"/>
        <w:rPr>
          <w:bCs/>
        </w:rPr>
      </w:pPr>
      <w:r>
        <w:rPr>
          <w:b/>
        </w:rPr>
        <w:t xml:space="preserve">Odjeljak </w:t>
      </w:r>
      <w:r w:rsidRPr="00C775DE">
        <w:rPr>
          <w:b/>
        </w:rPr>
        <w:t>6391</w:t>
      </w:r>
      <w:r w:rsidRPr="00C775DE">
        <w:rPr>
          <w:bCs/>
        </w:rPr>
        <w:t xml:space="preserve"> </w:t>
      </w:r>
      <w:r w:rsidR="00DC4AF3" w:rsidRPr="00C775DE">
        <w:rPr>
          <w:b/>
        </w:rPr>
        <w:t>Tekući prijenosi između proračunskih korisnika</w:t>
      </w:r>
      <w:r w:rsidR="00656783" w:rsidRPr="00C775DE">
        <w:rPr>
          <w:b/>
        </w:rPr>
        <w:t xml:space="preserve"> istog proračuna </w:t>
      </w:r>
      <w:r w:rsidR="00C775DE" w:rsidRPr="00C775DE">
        <w:rPr>
          <w:rStyle w:val="Istaknuto"/>
          <w:i w:val="0"/>
          <w:iCs w:val="0"/>
        </w:rPr>
        <w:t xml:space="preserve">bilježi </w:t>
      </w:r>
      <w:r w:rsidR="00D13890">
        <w:rPr>
          <w:rStyle w:val="Istaknuto"/>
          <w:i w:val="0"/>
          <w:iCs w:val="0"/>
        </w:rPr>
        <w:t xml:space="preserve">ostvarenje od 6.149,67 EUR i </w:t>
      </w:r>
      <w:r w:rsidR="00C775DE" w:rsidRPr="00C775DE">
        <w:rPr>
          <w:rStyle w:val="Istaknuto"/>
          <w:i w:val="0"/>
          <w:iCs w:val="0"/>
        </w:rPr>
        <w:t xml:space="preserve">indeks na manje </w:t>
      </w:r>
      <w:r w:rsidR="00D13890">
        <w:rPr>
          <w:rStyle w:val="Istaknuto"/>
          <w:i w:val="0"/>
          <w:iCs w:val="0"/>
        </w:rPr>
        <w:t>u odnosu na isto razdoblje prošle godine te</w:t>
      </w:r>
      <w:r w:rsidR="00C775DE" w:rsidRPr="00C775DE">
        <w:rPr>
          <w:rStyle w:val="Istaknuto"/>
          <w:i w:val="0"/>
          <w:iCs w:val="0"/>
        </w:rPr>
        <w:t xml:space="preserve"> iznosi 7</w:t>
      </w:r>
      <w:r w:rsidR="008101B1">
        <w:rPr>
          <w:rStyle w:val="Istaknuto"/>
          <w:i w:val="0"/>
          <w:iCs w:val="0"/>
        </w:rPr>
        <w:t>4</w:t>
      </w:r>
      <w:r w:rsidR="00C775DE" w:rsidRPr="00C775DE">
        <w:rPr>
          <w:rStyle w:val="Istaknuto"/>
          <w:i w:val="0"/>
          <w:iCs w:val="0"/>
        </w:rPr>
        <w:t xml:space="preserve"> zbog toga što smo ograničena sredstva za Školsku shemu voća u školskoj godini 2023./2024. iskoristili do kraja 2023. godine pa nije ostalo za utrošiti u drugom polugodištu, za razliku od školske godine 2022./2023. kad smo još imali novaca za trošiti u prva 3 mjeseca 2023. godine.</w:t>
      </w:r>
    </w:p>
    <w:p w14:paraId="20F7385B" w14:textId="4E9235C6" w:rsidR="00C775DE" w:rsidRPr="00D13890" w:rsidRDefault="00C464D3" w:rsidP="00D13890">
      <w:pPr>
        <w:ind w:firstLine="708"/>
        <w:jc w:val="both"/>
      </w:pPr>
      <w:r>
        <w:rPr>
          <w:b/>
        </w:rPr>
        <w:t xml:space="preserve">Odjeljak </w:t>
      </w:r>
      <w:r w:rsidRPr="00D13890">
        <w:rPr>
          <w:b/>
        </w:rPr>
        <w:t>6393</w:t>
      </w:r>
      <w:r w:rsidRPr="00D13890">
        <w:rPr>
          <w:bCs/>
        </w:rPr>
        <w:t xml:space="preserve"> </w:t>
      </w:r>
      <w:r w:rsidR="00D13890" w:rsidRPr="00D13890">
        <w:rPr>
          <w:b/>
        </w:rPr>
        <w:t xml:space="preserve">Tekući prijenosi između proračunskih korisnika istog proračuna temeljem EU sredstava </w:t>
      </w:r>
      <w:r w:rsidR="00D13890" w:rsidRPr="00D13890">
        <w:rPr>
          <w:bCs/>
        </w:rPr>
        <w:t>uključuju sredstva nacionalnog sufinanciranja pomoćnika u nastavi po ODJEKU VI</w:t>
      </w:r>
      <w:r w:rsidR="00D13890" w:rsidRPr="00D13890">
        <w:rPr>
          <w:rStyle w:val="Istaknuto"/>
          <w:i w:val="0"/>
          <w:iCs w:val="0"/>
        </w:rPr>
        <w:t xml:space="preserve">, bilježi </w:t>
      </w:r>
      <w:r w:rsidR="00D13890">
        <w:rPr>
          <w:rStyle w:val="Istaknuto"/>
          <w:i w:val="0"/>
          <w:iCs w:val="0"/>
        </w:rPr>
        <w:t xml:space="preserve">stanje od 30.714,61 EUR te </w:t>
      </w:r>
      <w:r w:rsidR="00D13890" w:rsidRPr="00D13890">
        <w:rPr>
          <w:rStyle w:val="Istaknuto"/>
          <w:i w:val="0"/>
          <w:iCs w:val="0"/>
        </w:rPr>
        <w:t>veći indeks od 111 u odnosu na isto razdoblje prošle godine jer se povećala bruto satnica pomoćnicima u nastavi sa 5,15 EUR na 5,77 EUR</w:t>
      </w:r>
      <w:r w:rsidR="00D13890">
        <w:rPr>
          <w:rStyle w:val="Istaknuto"/>
          <w:i w:val="0"/>
          <w:iCs w:val="0"/>
        </w:rPr>
        <w:t xml:space="preserve"> i projekt smo završili sa 3 pomoćnika više u odnosu na isto razdoblje 2023. godine.</w:t>
      </w:r>
    </w:p>
    <w:p w14:paraId="0E087C81" w14:textId="5A25D022" w:rsidR="00D13890" w:rsidRPr="00D13890" w:rsidRDefault="00C464D3" w:rsidP="00741750">
      <w:pPr>
        <w:ind w:firstLine="708"/>
        <w:jc w:val="both"/>
        <w:rPr>
          <w:bCs/>
        </w:rPr>
      </w:pPr>
      <w:r>
        <w:rPr>
          <w:b/>
        </w:rPr>
        <w:t xml:space="preserve">Odjeljak </w:t>
      </w:r>
      <w:r w:rsidRPr="00D13890">
        <w:rPr>
          <w:b/>
        </w:rPr>
        <w:t>6526</w:t>
      </w:r>
      <w:r>
        <w:rPr>
          <w:b/>
        </w:rPr>
        <w:t xml:space="preserve"> </w:t>
      </w:r>
      <w:r w:rsidR="00464F00" w:rsidRPr="00D13890">
        <w:rPr>
          <w:b/>
        </w:rPr>
        <w:t xml:space="preserve">Ostali nespomenuti prihodi </w:t>
      </w:r>
      <w:r w:rsidR="00DC718B" w:rsidRPr="00D13890">
        <w:rPr>
          <w:bCs/>
        </w:rPr>
        <w:t>na koji knjižimo prihode od školske kuhinje</w:t>
      </w:r>
      <w:r w:rsidR="002E14B5" w:rsidRPr="00D13890">
        <w:rPr>
          <w:bCs/>
        </w:rPr>
        <w:t xml:space="preserve"> (za račune izdane 2022. godine)</w:t>
      </w:r>
      <w:r w:rsidR="00DC718B" w:rsidRPr="00D13890">
        <w:rPr>
          <w:bCs/>
        </w:rPr>
        <w:t>,</w:t>
      </w:r>
      <w:r w:rsidR="00464F00" w:rsidRPr="00D13890">
        <w:rPr>
          <w:bCs/>
        </w:rPr>
        <w:t xml:space="preserve"> </w:t>
      </w:r>
      <w:r w:rsidR="00163298" w:rsidRPr="00D13890">
        <w:rPr>
          <w:bCs/>
        </w:rPr>
        <w:t>zatim prihode za osiguranje učenika</w:t>
      </w:r>
      <w:r w:rsidR="00CF7EC2" w:rsidRPr="00D13890">
        <w:rPr>
          <w:bCs/>
        </w:rPr>
        <w:t>,</w:t>
      </w:r>
      <w:r w:rsidR="00163298" w:rsidRPr="00D13890">
        <w:rPr>
          <w:bCs/>
        </w:rPr>
        <w:t xml:space="preserve"> školske majice</w:t>
      </w:r>
      <w:r w:rsidR="00CF7EC2" w:rsidRPr="00D13890">
        <w:rPr>
          <w:bCs/>
        </w:rPr>
        <w:t xml:space="preserve"> i popravke tableta</w:t>
      </w:r>
      <w:r w:rsidR="00423DA4" w:rsidRPr="00D13890">
        <w:rPr>
          <w:bCs/>
        </w:rPr>
        <w:t xml:space="preserve">, </w:t>
      </w:r>
      <w:r w:rsidR="00AF3112" w:rsidRPr="00D13890">
        <w:rPr>
          <w:bCs/>
        </w:rPr>
        <w:t xml:space="preserve">bilježe indeks od </w:t>
      </w:r>
      <w:r w:rsidR="00D13890" w:rsidRPr="00D13890">
        <w:rPr>
          <w:bCs/>
        </w:rPr>
        <w:t xml:space="preserve">60 </w:t>
      </w:r>
      <w:r w:rsidR="002E14B5" w:rsidRPr="00D13890">
        <w:rPr>
          <w:bCs/>
        </w:rPr>
        <w:t xml:space="preserve">i ostvarenje od </w:t>
      </w:r>
      <w:r w:rsidR="00D13890" w:rsidRPr="00D13890">
        <w:rPr>
          <w:bCs/>
        </w:rPr>
        <w:t>3.723,88</w:t>
      </w:r>
      <w:r w:rsidR="002E14B5" w:rsidRPr="00D13890">
        <w:rPr>
          <w:bCs/>
        </w:rPr>
        <w:t xml:space="preserve"> EUR</w:t>
      </w:r>
      <w:r w:rsidR="00CF7EC2" w:rsidRPr="00D13890">
        <w:rPr>
          <w:bCs/>
        </w:rPr>
        <w:t>.</w:t>
      </w:r>
      <w:r w:rsidR="00015C90" w:rsidRPr="00D13890">
        <w:rPr>
          <w:bCs/>
        </w:rPr>
        <w:t xml:space="preserve"> Najveći razlog smanjenja u odnosu na isto razdoblje prošle godine je </w:t>
      </w:r>
      <w:r w:rsidR="00D13890" w:rsidRPr="00D13890">
        <w:rPr>
          <w:rStyle w:val="Istaknuto"/>
          <w:i w:val="0"/>
          <w:iCs w:val="0"/>
        </w:rPr>
        <w:t>što smo 2023. godine još naplaćivali od roditelja dugove za školsku kuhinju iz 2022. godine</w:t>
      </w:r>
      <w:r w:rsidR="008101B1">
        <w:rPr>
          <w:rStyle w:val="Istaknuto"/>
          <w:i w:val="0"/>
          <w:iCs w:val="0"/>
        </w:rPr>
        <w:t>.</w:t>
      </w:r>
      <w:r w:rsidR="00D13890" w:rsidRPr="00D13890">
        <w:rPr>
          <w:bCs/>
        </w:rPr>
        <w:t xml:space="preserve"> </w:t>
      </w:r>
      <w:r w:rsidR="00CF7EC2" w:rsidRPr="00D13890">
        <w:rPr>
          <w:bCs/>
        </w:rPr>
        <w:t>Ostatak prihoda će se realizirati u drugoj polovici godine.</w:t>
      </w:r>
    </w:p>
    <w:p w14:paraId="20A421D9" w14:textId="309379B6" w:rsidR="00C464D3" w:rsidRPr="00C464D3" w:rsidRDefault="00C464D3" w:rsidP="00C464D3">
      <w:pPr>
        <w:ind w:firstLine="708"/>
        <w:jc w:val="both"/>
        <w:rPr>
          <w:b/>
        </w:rPr>
      </w:pPr>
      <w:r w:rsidRPr="00C464D3">
        <w:rPr>
          <w:b/>
        </w:rPr>
        <w:t xml:space="preserve">Odjeljak 6614 Prihodi od prodaje proizvoda i robe </w:t>
      </w:r>
      <w:r w:rsidRPr="00C464D3">
        <w:rPr>
          <w:rStyle w:val="Istaknuto"/>
          <w:i w:val="0"/>
          <w:iCs w:val="0"/>
        </w:rPr>
        <w:t>bilježi stanje od 114,48 EUR u odnosu na 2023. godinu jer smo ove godine počeli knjižiti prihod od papira i baterija na ispravni konto (do 2023. godine smo knjižili na 6615 Prihodi od pruženih usluga).</w:t>
      </w:r>
    </w:p>
    <w:p w14:paraId="521FCF3E" w14:textId="0E7E895D" w:rsidR="00681C5A" w:rsidRPr="00C464D3" w:rsidRDefault="00C464D3" w:rsidP="005A5479">
      <w:pPr>
        <w:ind w:firstLine="708"/>
        <w:jc w:val="both"/>
        <w:rPr>
          <w:bCs/>
        </w:rPr>
      </w:pPr>
      <w:r w:rsidRPr="00C464D3">
        <w:rPr>
          <w:b/>
        </w:rPr>
        <w:t xml:space="preserve">Odjeljak 6615 </w:t>
      </w:r>
      <w:r w:rsidR="008B3EA6" w:rsidRPr="00C464D3">
        <w:rPr>
          <w:b/>
        </w:rPr>
        <w:t xml:space="preserve">Prihodi od pruženih usluga </w:t>
      </w:r>
      <w:r w:rsidR="008B3EA6" w:rsidRPr="00C464D3">
        <w:rPr>
          <w:bCs/>
        </w:rPr>
        <w:t>koji obuhv</w:t>
      </w:r>
      <w:r w:rsidRPr="00C464D3">
        <w:rPr>
          <w:bCs/>
        </w:rPr>
        <w:t>aća</w:t>
      </w:r>
      <w:r w:rsidR="008B3EA6" w:rsidRPr="00C464D3">
        <w:rPr>
          <w:bCs/>
        </w:rPr>
        <w:t xml:space="preserve"> prihod od najma stana</w:t>
      </w:r>
      <w:r w:rsidR="00DC718B" w:rsidRPr="00C464D3">
        <w:rPr>
          <w:bCs/>
        </w:rPr>
        <w:t>,</w:t>
      </w:r>
      <w:r w:rsidR="008B3EA6" w:rsidRPr="00C464D3">
        <w:rPr>
          <w:bCs/>
        </w:rPr>
        <w:t xml:space="preserve">  </w:t>
      </w:r>
      <w:r w:rsidR="00DC718B" w:rsidRPr="00C464D3">
        <w:rPr>
          <w:bCs/>
        </w:rPr>
        <w:t xml:space="preserve">zakup poslovnog prostora za iznajmljivanje </w:t>
      </w:r>
      <w:r w:rsidR="008B3EA6" w:rsidRPr="00C464D3">
        <w:rPr>
          <w:bCs/>
        </w:rPr>
        <w:t>samoposlužnih aparata</w:t>
      </w:r>
      <w:r w:rsidR="00CF7EC2" w:rsidRPr="00C464D3">
        <w:rPr>
          <w:bCs/>
        </w:rPr>
        <w:t xml:space="preserve">, </w:t>
      </w:r>
      <w:r w:rsidR="00DC718B" w:rsidRPr="00C464D3">
        <w:rPr>
          <w:bCs/>
        </w:rPr>
        <w:t xml:space="preserve">ima indeks </w:t>
      </w:r>
      <w:r w:rsidRPr="00C464D3">
        <w:rPr>
          <w:bCs/>
        </w:rPr>
        <w:t>115</w:t>
      </w:r>
      <w:r w:rsidR="00681C5A" w:rsidRPr="00C464D3">
        <w:rPr>
          <w:bCs/>
        </w:rPr>
        <w:t xml:space="preserve">. </w:t>
      </w:r>
      <w:r w:rsidR="002E14B5" w:rsidRPr="00C464D3">
        <w:rPr>
          <w:bCs/>
        </w:rPr>
        <w:t>Ostvarenje na dan 30.06.202</w:t>
      </w:r>
      <w:r w:rsidRPr="00C464D3">
        <w:rPr>
          <w:bCs/>
        </w:rPr>
        <w:t>4</w:t>
      </w:r>
      <w:r w:rsidR="002E14B5" w:rsidRPr="00C464D3">
        <w:rPr>
          <w:bCs/>
        </w:rPr>
        <w:t xml:space="preserve">. godine je </w:t>
      </w:r>
      <w:r w:rsidRPr="00C464D3">
        <w:rPr>
          <w:bCs/>
        </w:rPr>
        <w:t xml:space="preserve">3.168,92 </w:t>
      </w:r>
      <w:r w:rsidR="002E14B5" w:rsidRPr="00C464D3">
        <w:rPr>
          <w:bCs/>
        </w:rPr>
        <w:t xml:space="preserve"> EU</w:t>
      </w:r>
      <w:r>
        <w:rPr>
          <w:bCs/>
        </w:rPr>
        <w:t>R</w:t>
      </w:r>
      <w:r w:rsidRPr="00C464D3">
        <w:rPr>
          <w:bCs/>
        </w:rPr>
        <w:t>, a povećanje je</w:t>
      </w:r>
      <w:r w:rsidRPr="00C464D3">
        <w:rPr>
          <w:rStyle w:val="Istaknuto"/>
          <w:i w:val="0"/>
          <w:iCs w:val="0"/>
        </w:rPr>
        <w:t xml:space="preserve"> jer smo s novom godinom potpisali nove ugovore sa iznajmljivačima stanova</w:t>
      </w:r>
      <w:r w:rsidRPr="00C464D3">
        <w:rPr>
          <w:bCs/>
          <w:iCs/>
        </w:rPr>
        <w:t>. Najamnina za stan na Trgu Eugena Kumičića je porasla sa 56,41 EUR na 179,35 EUR, a najamnina za školski stan je porasla sa 81,29 EUR na 254,00 EUR.</w:t>
      </w:r>
      <w:r w:rsidR="002E14B5" w:rsidRPr="00C464D3">
        <w:rPr>
          <w:bCs/>
        </w:rPr>
        <w:t xml:space="preserve"> </w:t>
      </w:r>
      <w:r w:rsidRPr="00C464D3">
        <w:rPr>
          <w:bCs/>
        </w:rPr>
        <w:t>O</w:t>
      </w:r>
      <w:r w:rsidR="00015C90" w:rsidRPr="00C464D3">
        <w:rPr>
          <w:bCs/>
        </w:rPr>
        <w:t>statak prihoda će se realizirati u drugoj polovici godine.</w:t>
      </w:r>
    </w:p>
    <w:p w14:paraId="4FFA3C13" w14:textId="29693554" w:rsidR="00E25037" w:rsidRPr="00E25037" w:rsidRDefault="00E25037" w:rsidP="005A5479">
      <w:pPr>
        <w:ind w:firstLine="708"/>
        <w:jc w:val="both"/>
        <w:rPr>
          <w:rStyle w:val="Istaknuto"/>
          <w:i w:val="0"/>
          <w:iCs w:val="0"/>
        </w:rPr>
      </w:pPr>
      <w:r w:rsidRPr="00E25037">
        <w:rPr>
          <w:b/>
        </w:rPr>
        <w:t xml:space="preserve">Odjeljak 6631 Tekuće donacije </w:t>
      </w:r>
      <w:r w:rsidRPr="008101B1">
        <w:rPr>
          <w:rStyle w:val="Istaknuto"/>
          <w:i w:val="0"/>
          <w:iCs w:val="0"/>
        </w:rPr>
        <w:t>biljež</w:t>
      </w:r>
      <w:r w:rsidR="008101B1" w:rsidRPr="008101B1">
        <w:rPr>
          <w:rStyle w:val="Istaknuto"/>
          <w:i w:val="0"/>
          <w:iCs w:val="0"/>
        </w:rPr>
        <w:t>i</w:t>
      </w:r>
      <w:r w:rsidRPr="008101B1">
        <w:rPr>
          <w:rStyle w:val="Istaknuto"/>
          <w:i w:val="0"/>
          <w:iCs w:val="0"/>
        </w:rPr>
        <w:t xml:space="preserve"> stanje </w:t>
      </w:r>
      <w:r w:rsidR="008101B1" w:rsidRPr="008101B1">
        <w:rPr>
          <w:rStyle w:val="Istaknuto"/>
          <w:i w:val="0"/>
          <w:iCs w:val="0"/>
        </w:rPr>
        <w:t xml:space="preserve">od </w:t>
      </w:r>
      <w:r w:rsidRPr="008101B1">
        <w:rPr>
          <w:rStyle w:val="Istaknuto"/>
          <w:i w:val="0"/>
          <w:iCs w:val="0"/>
        </w:rPr>
        <w:t>6.930,97 EUR i indeks 0 jer</w:t>
      </w:r>
      <w:r w:rsidRPr="00E25037">
        <w:rPr>
          <w:rStyle w:val="Istaknuto"/>
          <w:i w:val="0"/>
          <w:iCs w:val="0"/>
        </w:rPr>
        <w:t xml:space="preserve"> smo ove godine knjižili </w:t>
      </w:r>
      <w:r w:rsidR="008101B1">
        <w:rPr>
          <w:rStyle w:val="Istaknuto"/>
          <w:i w:val="0"/>
          <w:iCs w:val="0"/>
        </w:rPr>
        <w:t xml:space="preserve">svaki tjedan jednu </w:t>
      </w:r>
      <w:r w:rsidRPr="00E25037">
        <w:rPr>
          <w:rStyle w:val="Istaknuto"/>
          <w:i w:val="0"/>
          <w:iCs w:val="0"/>
        </w:rPr>
        <w:t>donaciju voća od Kauflanda, a prošle godine to nismo imali</w:t>
      </w:r>
      <w:r w:rsidR="008101B1">
        <w:rPr>
          <w:rStyle w:val="Istaknuto"/>
          <w:i w:val="0"/>
          <w:iCs w:val="0"/>
        </w:rPr>
        <w:t>.</w:t>
      </w:r>
    </w:p>
    <w:p w14:paraId="51C78C76" w14:textId="1F2D49E2" w:rsidR="00DC721A" w:rsidRPr="00E25037" w:rsidRDefault="00E25037" w:rsidP="005A5479">
      <w:pPr>
        <w:ind w:firstLine="708"/>
        <w:jc w:val="both"/>
        <w:rPr>
          <w:bCs/>
        </w:rPr>
      </w:pPr>
      <w:r w:rsidRPr="00E25037">
        <w:rPr>
          <w:b/>
        </w:rPr>
        <w:t xml:space="preserve">Odjeljak 6632 Kapitalne donacije </w:t>
      </w:r>
      <w:r w:rsidRPr="00E25037">
        <w:rPr>
          <w:bCs/>
        </w:rPr>
        <w:t>bilježi stanje od 500,00 EUR i indeks 108,a  radi se o donaciji AO osiguranja. Prošle godine je bila nešto manja i iznosila je 465,00 EUR.</w:t>
      </w:r>
      <w:r w:rsidRPr="00E25037">
        <w:rPr>
          <w:b/>
        </w:rPr>
        <w:t xml:space="preserve"> </w:t>
      </w:r>
    </w:p>
    <w:p w14:paraId="2162DF4C" w14:textId="2819E6C3" w:rsidR="002719CE" w:rsidRPr="00FC1CE6" w:rsidRDefault="00FC1CE6" w:rsidP="005A5479">
      <w:pPr>
        <w:ind w:firstLine="708"/>
        <w:jc w:val="both"/>
        <w:rPr>
          <w:rStyle w:val="Istaknuto"/>
          <w:i w:val="0"/>
          <w:iCs w:val="0"/>
        </w:rPr>
      </w:pPr>
      <w:r>
        <w:rPr>
          <w:b/>
        </w:rPr>
        <w:t xml:space="preserve">Odjeljak </w:t>
      </w:r>
      <w:r w:rsidRPr="00FC1CE6">
        <w:rPr>
          <w:b/>
        </w:rPr>
        <w:t>6711</w:t>
      </w:r>
      <w:r w:rsidRPr="00FC1CE6">
        <w:rPr>
          <w:bCs/>
        </w:rPr>
        <w:t xml:space="preserve"> </w:t>
      </w:r>
      <w:r w:rsidR="002719CE" w:rsidRPr="00FC1CE6">
        <w:rPr>
          <w:rStyle w:val="Istaknuto"/>
          <w:b/>
          <w:bCs/>
          <w:i w:val="0"/>
          <w:iCs w:val="0"/>
        </w:rPr>
        <w:t>Prihodi iz nadležnog proračuna za financiranje rashoda poslovanja</w:t>
      </w:r>
      <w:r w:rsidR="002719CE" w:rsidRPr="00FC1CE6">
        <w:rPr>
          <w:rStyle w:val="Istaknuto"/>
          <w:i w:val="0"/>
          <w:iCs w:val="0"/>
        </w:rPr>
        <w:t xml:space="preserve"> </w:t>
      </w:r>
      <w:r w:rsidR="00532EA3" w:rsidRPr="00FC1CE6">
        <w:rPr>
          <w:bCs/>
        </w:rPr>
        <w:t>biljež</w:t>
      </w:r>
      <w:r>
        <w:rPr>
          <w:bCs/>
        </w:rPr>
        <w:t>i</w:t>
      </w:r>
      <w:r w:rsidR="00532EA3" w:rsidRPr="00FC1CE6">
        <w:rPr>
          <w:bCs/>
        </w:rPr>
        <w:t xml:space="preserve"> indeks od </w:t>
      </w:r>
      <w:r w:rsidRPr="00FC1CE6">
        <w:rPr>
          <w:bCs/>
        </w:rPr>
        <w:t>147</w:t>
      </w:r>
      <w:r w:rsidR="00532EA3" w:rsidRPr="00FC1CE6">
        <w:rPr>
          <w:bCs/>
        </w:rPr>
        <w:t>, a obuhvać</w:t>
      </w:r>
      <w:r>
        <w:rPr>
          <w:bCs/>
        </w:rPr>
        <w:t>a</w:t>
      </w:r>
      <w:r w:rsidR="00532EA3" w:rsidRPr="00FC1CE6">
        <w:rPr>
          <w:bCs/>
        </w:rPr>
        <w:t xml:space="preserve"> prihode primljene za redovno poslovanje škole iz decentraliziranih i gradskih sredstava. </w:t>
      </w:r>
      <w:r w:rsidR="00681C5A" w:rsidRPr="00FC1CE6">
        <w:rPr>
          <w:bCs/>
        </w:rPr>
        <w:t xml:space="preserve">Indeks je </w:t>
      </w:r>
      <w:r w:rsidR="002719CE" w:rsidRPr="00FC1CE6">
        <w:rPr>
          <w:bCs/>
        </w:rPr>
        <w:t>veći</w:t>
      </w:r>
      <w:r w:rsidR="00681C5A" w:rsidRPr="00FC1CE6">
        <w:rPr>
          <w:bCs/>
        </w:rPr>
        <w:t xml:space="preserve"> </w:t>
      </w:r>
      <w:r w:rsidRPr="00FC1CE6">
        <w:rPr>
          <w:rStyle w:val="Istaknuto"/>
          <w:i w:val="0"/>
          <w:iCs w:val="0"/>
        </w:rPr>
        <w:t xml:space="preserve">zbog povećanja plaće pomoćnika u nastavi jer se njihova bruto satnica povećala sa 5,15 EUR na 5,77 EUR. Povećanje je i zbog veće satnice za izvannastavne aktivnosti (13,27 EUR na 15,00 EUR). Također je iz 2023. godine prenesen veći manjak iz Aktivnosti decentraliziranih sredstava te plaće pomoćnika u nastavi što je također jedan razlog povećanja na tom odjeljku. Od rashoda koji se financiraju iz tog odjeljka, a koji su porasli za skoro 100% je prijevoz učenika što je znatno povećalo i prihode na tom odjeljku. </w:t>
      </w:r>
      <w:r w:rsidR="00B93BBA" w:rsidRPr="00FC1CE6">
        <w:rPr>
          <w:rStyle w:val="Istaknuto"/>
          <w:i w:val="0"/>
          <w:iCs w:val="0"/>
        </w:rPr>
        <w:t xml:space="preserve">Ostvarenje je u iznosu od </w:t>
      </w:r>
      <w:r w:rsidRPr="00FC1CE6">
        <w:rPr>
          <w:rStyle w:val="Istaknuto"/>
          <w:i w:val="0"/>
          <w:iCs w:val="0"/>
        </w:rPr>
        <w:t>229.375,27</w:t>
      </w:r>
      <w:r w:rsidR="00B93BBA" w:rsidRPr="00FC1CE6">
        <w:rPr>
          <w:rStyle w:val="Istaknuto"/>
          <w:i w:val="0"/>
          <w:iCs w:val="0"/>
        </w:rPr>
        <w:t xml:space="preserve"> EUR</w:t>
      </w:r>
    </w:p>
    <w:p w14:paraId="0E6DDA2B" w14:textId="32797779" w:rsidR="00FC1CE6" w:rsidRPr="00FC1CE6" w:rsidRDefault="00FC1CE6" w:rsidP="00FC1CE6">
      <w:pPr>
        <w:ind w:firstLine="708"/>
        <w:jc w:val="both"/>
      </w:pPr>
      <w:r w:rsidRPr="00FC1CE6">
        <w:rPr>
          <w:rStyle w:val="Istaknuto"/>
          <w:b/>
          <w:bCs/>
          <w:i w:val="0"/>
          <w:iCs w:val="0"/>
        </w:rPr>
        <w:t>Odjeljak 6712</w:t>
      </w:r>
      <w:r w:rsidRPr="00FC1CE6">
        <w:rPr>
          <w:rStyle w:val="Istaknuto"/>
          <w:i w:val="0"/>
          <w:iCs w:val="0"/>
        </w:rPr>
        <w:t xml:space="preserve">  </w:t>
      </w:r>
      <w:r w:rsidR="002719CE" w:rsidRPr="00FC1CE6">
        <w:rPr>
          <w:rStyle w:val="Istaknuto"/>
          <w:b/>
          <w:bCs/>
          <w:i w:val="0"/>
          <w:iCs w:val="0"/>
        </w:rPr>
        <w:t xml:space="preserve">Prihodi iz nadležnog proračuna za financiranje rashoda za nabavu </w:t>
      </w:r>
      <w:r w:rsidR="008101B1">
        <w:rPr>
          <w:rStyle w:val="Istaknuto"/>
          <w:b/>
          <w:bCs/>
          <w:i w:val="0"/>
          <w:iCs w:val="0"/>
        </w:rPr>
        <w:t>nefinancijske imovine</w:t>
      </w:r>
      <w:r w:rsidR="002719CE" w:rsidRPr="00FC1CE6">
        <w:rPr>
          <w:rStyle w:val="Istaknuto"/>
          <w:i w:val="0"/>
          <w:iCs w:val="0"/>
        </w:rPr>
        <w:t xml:space="preserve"> ove godine </w:t>
      </w:r>
      <w:r w:rsidRPr="00FC1CE6">
        <w:rPr>
          <w:rStyle w:val="Istaknuto"/>
          <w:i w:val="0"/>
          <w:iCs w:val="0"/>
        </w:rPr>
        <w:t xml:space="preserve">ima stanje jer smo realizirali nabavu namještaja te smo knjižili račun za priključak na elektroenergetsku distribucijsku mrežu, a u istom razdoblju prošle godine još nisu bili realizirani sklopljeni ugovori za nabavu namještaja i računala. Ostvarenje je u iznosu od 11.267,28 EUR, a indeks 0. </w:t>
      </w:r>
    </w:p>
    <w:p w14:paraId="7A1323E4" w14:textId="27575FB7" w:rsidR="002719CE" w:rsidRPr="00A35F76" w:rsidRDefault="002719CE" w:rsidP="00FC1CE6">
      <w:pPr>
        <w:ind w:firstLine="708"/>
        <w:jc w:val="both"/>
        <w:rPr>
          <w:bCs/>
        </w:rPr>
      </w:pPr>
    </w:p>
    <w:p w14:paraId="45EC7137" w14:textId="4B209B98" w:rsidR="00DC1310" w:rsidRPr="00A35F76" w:rsidRDefault="0067780D" w:rsidP="0067780D">
      <w:pPr>
        <w:jc w:val="center"/>
        <w:rPr>
          <w:b/>
        </w:rPr>
      </w:pPr>
      <w:r w:rsidRPr="00A35F76">
        <w:rPr>
          <w:b/>
        </w:rPr>
        <w:t>RASHODI I IZDACI</w:t>
      </w:r>
    </w:p>
    <w:p w14:paraId="3296AF6F" w14:textId="77777777" w:rsidR="00D15631" w:rsidRPr="00A35F76" w:rsidRDefault="00D15631" w:rsidP="00D15631">
      <w:pPr>
        <w:jc w:val="both"/>
        <w:rPr>
          <w:bCs/>
        </w:rPr>
      </w:pPr>
    </w:p>
    <w:tbl>
      <w:tblPr>
        <w:tblStyle w:val="Reetkatablice"/>
        <w:tblW w:w="0" w:type="auto"/>
        <w:tblLook w:val="04A0" w:firstRow="1" w:lastRow="0" w:firstColumn="1" w:lastColumn="0" w:noHBand="0" w:noVBand="1"/>
      </w:tblPr>
      <w:tblGrid>
        <w:gridCol w:w="1123"/>
        <w:gridCol w:w="3550"/>
        <w:gridCol w:w="1556"/>
        <w:gridCol w:w="1923"/>
        <w:gridCol w:w="910"/>
      </w:tblGrid>
      <w:tr w:rsidR="00A35F76" w:rsidRPr="00A35F76" w14:paraId="21CCA17F" w14:textId="77777777" w:rsidTr="005E5FBB">
        <w:tc>
          <w:tcPr>
            <w:tcW w:w="1129" w:type="dxa"/>
            <w:shd w:val="clear" w:color="auto" w:fill="C6D9F1" w:themeFill="text2" w:themeFillTint="33"/>
          </w:tcPr>
          <w:p w14:paraId="49B5A7C2" w14:textId="77777777" w:rsidR="005E5FBB" w:rsidRPr="00A35F76" w:rsidRDefault="005E5FBB" w:rsidP="00532EA3">
            <w:pPr>
              <w:jc w:val="center"/>
              <w:rPr>
                <w:b/>
              </w:rPr>
            </w:pPr>
          </w:p>
          <w:p w14:paraId="2D95AB57" w14:textId="242F6801" w:rsidR="005E5FBB" w:rsidRPr="00A35F76" w:rsidRDefault="005E5FBB" w:rsidP="00532EA3">
            <w:pPr>
              <w:jc w:val="center"/>
              <w:rPr>
                <w:b/>
              </w:rPr>
            </w:pPr>
            <w:r w:rsidRPr="00A35F76">
              <w:rPr>
                <w:b/>
              </w:rPr>
              <w:t>Skupina</w:t>
            </w:r>
          </w:p>
        </w:tc>
        <w:tc>
          <w:tcPr>
            <w:tcW w:w="3768" w:type="dxa"/>
            <w:shd w:val="clear" w:color="auto" w:fill="C6D9F1" w:themeFill="text2" w:themeFillTint="33"/>
          </w:tcPr>
          <w:p w14:paraId="1C15AEA0" w14:textId="13869884" w:rsidR="005E5FBB" w:rsidRPr="00A35F76" w:rsidRDefault="005E5FBB" w:rsidP="00532EA3">
            <w:pPr>
              <w:jc w:val="center"/>
              <w:rPr>
                <w:b/>
              </w:rPr>
            </w:pPr>
          </w:p>
          <w:p w14:paraId="59D50E43" w14:textId="67900B7D" w:rsidR="005E5FBB" w:rsidRPr="00A35F76" w:rsidRDefault="005E5FBB" w:rsidP="00532EA3">
            <w:pPr>
              <w:jc w:val="center"/>
              <w:rPr>
                <w:b/>
              </w:rPr>
            </w:pPr>
            <w:r w:rsidRPr="00A35F76">
              <w:rPr>
                <w:b/>
              </w:rPr>
              <w:t>VRSTA RASHODA</w:t>
            </w:r>
          </w:p>
        </w:tc>
        <w:tc>
          <w:tcPr>
            <w:tcW w:w="1565" w:type="dxa"/>
            <w:shd w:val="clear" w:color="auto" w:fill="C6D9F1" w:themeFill="text2" w:themeFillTint="33"/>
          </w:tcPr>
          <w:p w14:paraId="2158802A" w14:textId="1039CEE1" w:rsidR="005E5FBB" w:rsidRPr="00A35F76" w:rsidRDefault="00E15959" w:rsidP="00532EA3">
            <w:pPr>
              <w:jc w:val="center"/>
              <w:rPr>
                <w:b/>
              </w:rPr>
            </w:pPr>
            <w:r>
              <w:rPr>
                <w:b/>
              </w:rPr>
              <w:t>Rebalans</w:t>
            </w:r>
            <w:r w:rsidR="005E5FBB" w:rsidRPr="00A35F76">
              <w:rPr>
                <w:b/>
              </w:rPr>
              <w:t xml:space="preserve"> za 2024. godinu</w:t>
            </w:r>
          </w:p>
        </w:tc>
        <w:tc>
          <w:tcPr>
            <w:tcW w:w="1690" w:type="dxa"/>
            <w:shd w:val="clear" w:color="auto" w:fill="C6D9F1" w:themeFill="text2" w:themeFillTint="33"/>
          </w:tcPr>
          <w:p w14:paraId="333CF38F" w14:textId="2A0A6E97" w:rsidR="005E5FBB" w:rsidRPr="00A35F76" w:rsidRDefault="005E5FBB" w:rsidP="00532EA3">
            <w:pPr>
              <w:jc w:val="center"/>
              <w:rPr>
                <w:b/>
              </w:rPr>
            </w:pPr>
            <w:r w:rsidRPr="00A35F76">
              <w:rPr>
                <w:b/>
              </w:rPr>
              <w:t>Ostvarenje/EUR</w:t>
            </w:r>
          </w:p>
          <w:p w14:paraId="4B157D8F" w14:textId="7F851140" w:rsidR="005E5FBB" w:rsidRPr="00A35F76" w:rsidRDefault="005E5FBB" w:rsidP="00532EA3">
            <w:pPr>
              <w:jc w:val="center"/>
              <w:rPr>
                <w:b/>
              </w:rPr>
            </w:pPr>
            <w:r w:rsidRPr="00A35F76">
              <w:rPr>
                <w:b/>
              </w:rPr>
              <w:t>01.01.-30.6.2024.</w:t>
            </w:r>
          </w:p>
        </w:tc>
        <w:tc>
          <w:tcPr>
            <w:tcW w:w="910" w:type="dxa"/>
            <w:shd w:val="clear" w:color="auto" w:fill="C6D9F1" w:themeFill="text2" w:themeFillTint="33"/>
          </w:tcPr>
          <w:p w14:paraId="127EB403" w14:textId="77777777" w:rsidR="005E5FBB" w:rsidRPr="00A35F76" w:rsidRDefault="005E5FBB" w:rsidP="00532EA3">
            <w:pPr>
              <w:jc w:val="center"/>
              <w:rPr>
                <w:b/>
              </w:rPr>
            </w:pPr>
            <w:r w:rsidRPr="00A35F76">
              <w:rPr>
                <w:b/>
              </w:rPr>
              <w:t>Indeks</w:t>
            </w:r>
          </w:p>
        </w:tc>
      </w:tr>
      <w:tr w:rsidR="00A35F76" w:rsidRPr="00A35F76" w14:paraId="6744B29D" w14:textId="77777777" w:rsidTr="005E5FBB">
        <w:tc>
          <w:tcPr>
            <w:tcW w:w="1129" w:type="dxa"/>
          </w:tcPr>
          <w:p w14:paraId="2533F80D" w14:textId="4810070B" w:rsidR="005E5FBB" w:rsidRPr="00A35F76" w:rsidRDefault="005E5FBB" w:rsidP="005E5FBB">
            <w:pPr>
              <w:jc w:val="center"/>
              <w:rPr>
                <w:b/>
              </w:rPr>
            </w:pPr>
            <w:r w:rsidRPr="00A35F76">
              <w:rPr>
                <w:b/>
              </w:rPr>
              <w:t>31</w:t>
            </w:r>
          </w:p>
        </w:tc>
        <w:tc>
          <w:tcPr>
            <w:tcW w:w="3768" w:type="dxa"/>
          </w:tcPr>
          <w:p w14:paraId="425C46C6" w14:textId="61DAE299" w:rsidR="005E5FBB" w:rsidRPr="00A35F76" w:rsidRDefault="005E5FBB" w:rsidP="00BB1CEE">
            <w:pPr>
              <w:rPr>
                <w:bCs/>
              </w:rPr>
            </w:pPr>
            <w:r w:rsidRPr="00A35F76">
              <w:rPr>
                <w:bCs/>
              </w:rPr>
              <w:t>Rashodi za zaposlene</w:t>
            </w:r>
          </w:p>
        </w:tc>
        <w:tc>
          <w:tcPr>
            <w:tcW w:w="1565" w:type="dxa"/>
            <w:vAlign w:val="center"/>
          </w:tcPr>
          <w:p w14:paraId="6913F843" w14:textId="2868A801" w:rsidR="005E5FBB" w:rsidRPr="00A35F76" w:rsidRDefault="005E5FBB" w:rsidP="005E5FBB">
            <w:pPr>
              <w:jc w:val="right"/>
              <w:rPr>
                <w:bCs/>
              </w:rPr>
            </w:pPr>
            <w:r w:rsidRPr="00A35F76">
              <w:rPr>
                <w:bCs/>
              </w:rPr>
              <w:t>2.808.639,00</w:t>
            </w:r>
          </w:p>
        </w:tc>
        <w:tc>
          <w:tcPr>
            <w:tcW w:w="1690" w:type="dxa"/>
            <w:vAlign w:val="center"/>
          </w:tcPr>
          <w:p w14:paraId="3E28167B" w14:textId="02FF19A2" w:rsidR="005E5FBB" w:rsidRPr="00A35F76" w:rsidRDefault="005E5FBB" w:rsidP="005E5FBB">
            <w:pPr>
              <w:jc w:val="right"/>
              <w:rPr>
                <w:bCs/>
              </w:rPr>
            </w:pPr>
            <w:r w:rsidRPr="00A35F76">
              <w:rPr>
                <w:bCs/>
              </w:rPr>
              <w:t>1.232.125,32</w:t>
            </w:r>
          </w:p>
        </w:tc>
        <w:tc>
          <w:tcPr>
            <w:tcW w:w="910" w:type="dxa"/>
            <w:vAlign w:val="center"/>
          </w:tcPr>
          <w:p w14:paraId="22F334FE" w14:textId="4C247286" w:rsidR="005E5FBB" w:rsidRPr="00A35F76" w:rsidRDefault="005E5FBB" w:rsidP="00BB1CEE">
            <w:pPr>
              <w:jc w:val="center"/>
              <w:rPr>
                <w:bCs/>
              </w:rPr>
            </w:pPr>
            <w:r w:rsidRPr="00A35F76">
              <w:rPr>
                <w:bCs/>
              </w:rPr>
              <w:t>44</w:t>
            </w:r>
          </w:p>
        </w:tc>
      </w:tr>
      <w:tr w:rsidR="00A35F76" w:rsidRPr="00A35F76" w14:paraId="298B0710" w14:textId="77777777" w:rsidTr="005E5FBB">
        <w:tc>
          <w:tcPr>
            <w:tcW w:w="1129" w:type="dxa"/>
          </w:tcPr>
          <w:p w14:paraId="3BA231A7" w14:textId="3BBD6660" w:rsidR="005E5FBB" w:rsidRPr="00A35F76" w:rsidRDefault="005E5FBB" w:rsidP="005E5FBB">
            <w:pPr>
              <w:jc w:val="center"/>
              <w:rPr>
                <w:b/>
              </w:rPr>
            </w:pPr>
            <w:r w:rsidRPr="00A35F76">
              <w:rPr>
                <w:b/>
              </w:rPr>
              <w:t>32</w:t>
            </w:r>
          </w:p>
        </w:tc>
        <w:tc>
          <w:tcPr>
            <w:tcW w:w="3768" w:type="dxa"/>
          </w:tcPr>
          <w:p w14:paraId="51850FAB" w14:textId="55BFD6D9" w:rsidR="005E5FBB" w:rsidRPr="00A35F76" w:rsidRDefault="005E5FBB" w:rsidP="00BB1CEE">
            <w:pPr>
              <w:rPr>
                <w:bCs/>
              </w:rPr>
            </w:pPr>
            <w:r w:rsidRPr="00A35F76">
              <w:rPr>
                <w:bCs/>
              </w:rPr>
              <w:t>Materijalni rashodi</w:t>
            </w:r>
          </w:p>
        </w:tc>
        <w:tc>
          <w:tcPr>
            <w:tcW w:w="1565" w:type="dxa"/>
            <w:vAlign w:val="center"/>
          </w:tcPr>
          <w:p w14:paraId="78B6FCC4" w14:textId="12A33AD8" w:rsidR="005E5FBB" w:rsidRPr="00A35F76" w:rsidRDefault="005E5FBB" w:rsidP="005E5FBB">
            <w:pPr>
              <w:jc w:val="right"/>
              <w:rPr>
                <w:bCs/>
              </w:rPr>
            </w:pPr>
            <w:r w:rsidRPr="00A35F76">
              <w:rPr>
                <w:bCs/>
              </w:rPr>
              <w:t>643.984,00</w:t>
            </w:r>
          </w:p>
        </w:tc>
        <w:tc>
          <w:tcPr>
            <w:tcW w:w="1690" w:type="dxa"/>
            <w:vAlign w:val="center"/>
          </w:tcPr>
          <w:p w14:paraId="1F0BEFC1" w14:textId="35763410" w:rsidR="005E5FBB" w:rsidRPr="00A35F76" w:rsidRDefault="005E5FBB" w:rsidP="005E5FBB">
            <w:pPr>
              <w:jc w:val="right"/>
              <w:rPr>
                <w:bCs/>
              </w:rPr>
            </w:pPr>
            <w:r w:rsidRPr="00A35F76">
              <w:rPr>
                <w:bCs/>
              </w:rPr>
              <w:t>336.930,17</w:t>
            </w:r>
          </w:p>
        </w:tc>
        <w:tc>
          <w:tcPr>
            <w:tcW w:w="910" w:type="dxa"/>
            <w:vAlign w:val="center"/>
          </w:tcPr>
          <w:p w14:paraId="27F97F07" w14:textId="3B7F0363" w:rsidR="005E5FBB" w:rsidRPr="00A35F76" w:rsidRDefault="005E5FBB" w:rsidP="00BB1CEE">
            <w:pPr>
              <w:jc w:val="center"/>
              <w:rPr>
                <w:bCs/>
              </w:rPr>
            </w:pPr>
            <w:r w:rsidRPr="00A35F76">
              <w:rPr>
                <w:bCs/>
              </w:rPr>
              <w:t>52</w:t>
            </w:r>
          </w:p>
        </w:tc>
      </w:tr>
      <w:tr w:rsidR="00A35F76" w:rsidRPr="00A35F76" w14:paraId="6C3182A1" w14:textId="77777777" w:rsidTr="005E5FBB">
        <w:tc>
          <w:tcPr>
            <w:tcW w:w="1129" w:type="dxa"/>
          </w:tcPr>
          <w:p w14:paraId="349FDD4F" w14:textId="5628D271" w:rsidR="005E5FBB" w:rsidRPr="00A35F76" w:rsidRDefault="005E5FBB" w:rsidP="005E5FBB">
            <w:pPr>
              <w:jc w:val="center"/>
              <w:rPr>
                <w:b/>
              </w:rPr>
            </w:pPr>
            <w:r w:rsidRPr="00A35F76">
              <w:rPr>
                <w:b/>
              </w:rPr>
              <w:t>34</w:t>
            </w:r>
          </w:p>
        </w:tc>
        <w:tc>
          <w:tcPr>
            <w:tcW w:w="3768" w:type="dxa"/>
          </w:tcPr>
          <w:p w14:paraId="559AAA48" w14:textId="58579FF2" w:rsidR="005E5FBB" w:rsidRPr="00A35F76" w:rsidRDefault="005E5FBB" w:rsidP="00BB1CEE">
            <w:pPr>
              <w:rPr>
                <w:bCs/>
              </w:rPr>
            </w:pPr>
            <w:r w:rsidRPr="00A35F76">
              <w:rPr>
                <w:bCs/>
              </w:rPr>
              <w:t>Financijski rashodi</w:t>
            </w:r>
          </w:p>
        </w:tc>
        <w:tc>
          <w:tcPr>
            <w:tcW w:w="1565" w:type="dxa"/>
            <w:vAlign w:val="center"/>
          </w:tcPr>
          <w:p w14:paraId="29837236" w14:textId="5610CFE5" w:rsidR="005E5FBB" w:rsidRPr="00A35F76" w:rsidRDefault="005E5FBB" w:rsidP="005E5FBB">
            <w:pPr>
              <w:jc w:val="right"/>
              <w:rPr>
                <w:bCs/>
              </w:rPr>
            </w:pPr>
            <w:r w:rsidRPr="00A35F76">
              <w:rPr>
                <w:bCs/>
              </w:rPr>
              <w:t>358,00</w:t>
            </w:r>
          </w:p>
        </w:tc>
        <w:tc>
          <w:tcPr>
            <w:tcW w:w="1690" w:type="dxa"/>
            <w:vAlign w:val="center"/>
          </w:tcPr>
          <w:p w14:paraId="32C1443B" w14:textId="46AEA25A" w:rsidR="005E5FBB" w:rsidRPr="00A35F76" w:rsidRDefault="005E5FBB" w:rsidP="005E5FBB">
            <w:pPr>
              <w:jc w:val="right"/>
              <w:rPr>
                <w:bCs/>
              </w:rPr>
            </w:pPr>
            <w:r w:rsidRPr="00A35F76">
              <w:rPr>
                <w:bCs/>
              </w:rPr>
              <w:t>357,36</w:t>
            </w:r>
          </w:p>
        </w:tc>
        <w:tc>
          <w:tcPr>
            <w:tcW w:w="910" w:type="dxa"/>
            <w:vAlign w:val="center"/>
          </w:tcPr>
          <w:p w14:paraId="3B635144" w14:textId="7EE46701" w:rsidR="005E5FBB" w:rsidRPr="00A35F76" w:rsidRDefault="005E5FBB" w:rsidP="00BB1CEE">
            <w:pPr>
              <w:jc w:val="center"/>
              <w:rPr>
                <w:bCs/>
              </w:rPr>
            </w:pPr>
            <w:r w:rsidRPr="00A35F76">
              <w:rPr>
                <w:bCs/>
              </w:rPr>
              <w:t>100</w:t>
            </w:r>
          </w:p>
        </w:tc>
      </w:tr>
      <w:tr w:rsidR="00A35F76" w:rsidRPr="00A35F76" w14:paraId="0D86DA81" w14:textId="77777777" w:rsidTr="005E5FBB">
        <w:tc>
          <w:tcPr>
            <w:tcW w:w="1129" w:type="dxa"/>
          </w:tcPr>
          <w:p w14:paraId="2C624A47" w14:textId="77777777" w:rsidR="005E5FBB" w:rsidRPr="00A35F76" w:rsidRDefault="005E5FBB" w:rsidP="005E5FBB">
            <w:pPr>
              <w:jc w:val="center"/>
              <w:rPr>
                <w:b/>
              </w:rPr>
            </w:pPr>
          </w:p>
          <w:p w14:paraId="54A27A70" w14:textId="2B16FFDB" w:rsidR="005E5FBB" w:rsidRPr="00A35F76" w:rsidRDefault="005E5FBB" w:rsidP="005E5FBB">
            <w:pPr>
              <w:jc w:val="center"/>
              <w:rPr>
                <w:b/>
              </w:rPr>
            </w:pPr>
            <w:r w:rsidRPr="00A35F76">
              <w:rPr>
                <w:b/>
              </w:rPr>
              <w:t>37</w:t>
            </w:r>
          </w:p>
        </w:tc>
        <w:tc>
          <w:tcPr>
            <w:tcW w:w="3768" w:type="dxa"/>
          </w:tcPr>
          <w:p w14:paraId="3412FBD4" w14:textId="73F9E3BB" w:rsidR="005E5FBB" w:rsidRPr="00A35F76" w:rsidRDefault="005E5FBB" w:rsidP="00BB1CEE">
            <w:pPr>
              <w:rPr>
                <w:bCs/>
              </w:rPr>
            </w:pPr>
            <w:r w:rsidRPr="00A35F76">
              <w:rPr>
                <w:bCs/>
              </w:rPr>
              <w:t>Naknade građanima i kućanstvima na temelju osiguranja i druge naknade</w:t>
            </w:r>
          </w:p>
        </w:tc>
        <w:tc>
          <w:tcPr>
            <w:tcW w:w="1565" w:type="dxa"/>
            <w:vAlign w:val="center"/>
          </w:tcPr>
          <w:p w14:paraId="5753CE74" w14:textId="2DD245FE" w:rsidR="005E5FBB" w:rsidRPr="00A35F76" w:rsidRDefault="005E5FBB" w:rsidP="005E5FBB">
            <w:pPr>
              <w:jc w:val="right"/>
              <w:rPr>
                <w:bCs/>
              </w:rPr>
            </w:pPr>
            <w:r w:rsidRPr="00A35F76">
              <w:rPr>
                <w:bCs/>
              </w:rPr>
              <w:t>35.000,00</w:t>
            </w:r>
          </w:p>
        </w:tc>
        <w:tc>
          <w:tcPr>
            <w:tcW w:w="1690" w:type="dxa"/>
            <w:vAlign w:val="center"/>
          </w:tcPr>
          <w:p w14:paraId="45241B32" w14:textId="7609EFD3" w:rsidR="005E5FBB" w:rsidRPr="00A35F76" w:rsidRDefault="005E5FBB" w:rsidP="005E5FBB">
            <w:pPr>
              <w:jc w:val="right"/>
              <w:rPr>
                <w:bCs/>
              </w:rPr>
            </w:pPr>
            <w:r w:rsidRPr="00A35F76">
              <w:rPr>
                <w:bCs/>
              </w:rPr>
              <w:t>219,67</w:t>
            </w:r>
          </w:p>
        </w:tc>
        <w:tc>
          <w:tcPr>
            <w:tcW w:w="910" w:type="dxa"/>
            <w:vAlign w:val="center"/>
          </w:tcPr>
          <w:p w14:paraId="15342BF4" w14:textId="76425EBF" w:rsidR="005E5FBB" w:rsidRPr="00A35F76" w:rsidRDefault="005E5FBB" w:rsidP="00BB1CEE">
            <w:pPr>
              <w:jc w:val="center"/>
              <w:rPr>
                <w:bCs/>
              </w:rPr>
            </w:pPr>
            <w:r w:rsidRPr="00A35F76">
              <w:rPr>
                <w:bCs/>
              </w:rPr>
              <w:t>1</w:t>
            </w:r>
          </w:p>
        </w:tc>
      </w:tr>
      <w:tr w:rsidR="00A35F76" w:rsidRPr="00A35F76" w14:paraId="16C88F49" w14:textId="77777777" w:rsidTr="005E5FBB">
        <w:tc>
          <w:tcPr>
            <w:tcW w:w="1129" w:type="dxa"/>
          </w:tcPr>
          <w:p w14:paraId="4A04A029" w14:textId="6247F83F" w:rsidR="005E5FBB" w:rsidRPr="00A35F76" w:rsidRDefault="005E5FBB" w:rsidP="005E5FBB">
            <w:pPr>
              <w:jc w:val="center"/>
              <w:rPr>
                <w:b/>
              </w:rPr>
            </w:pPr>
            <w:r w:rsidRPr="00A35F76">
              <w:rPr>
                <w:b/>
              </w:rPr>
              <w:t>38</w:t>
            </w:r>
          </w:p>
        </w:tc>
        <w:tc>
          <w:tcPr>
            <w:tcW w:w="3768" w:type="dxa"/>
          </w:tcPr>
          <w:p w14:paraId="4F92F8F0" w14:textId="783FFE1D" w:rsidR="005E5FBB" w:rsidRPr="00A35F76" w:rsidRDefault="005E5FBB" w:rsidP="00BB1CEE">
            <w:pPr>
              <w:rPr>
                <w:bCs/>
              </w:rPr>
            </w:pPr>
            <w:r w:rsidRPr="00A35F76">
              <w:rPr>
                <w:bCs/>
              </w:rPr>
              <w:t>Ostali rashodi</w:t>
            </w:r>
          </w:p>
        </w:tc>
        <w:tc>
          <w:tcPr>
            <w:tcW w:w="1565" w:type="dxa"/>
            <w:vAlign w:val="center"/>
          </w:tcPr>
          <w:p w14:paraId="5464DCAA" w14:textId="65438D87" w:rsidR="005E5FBB" w:rsidRPr="00A35F76" w:rsidRDefault="005E5FBB" w:rsidP="005E5FBB">
            <w:pPr>
              <w:jc w:val="right"/>
              <w:rPr>
                <w:bCs/>
              </w:rPr>
            </w:pPr>
            <w:r w:rsidRPr="00A35F76">
              <w:rPr>
                <w:bCs/>
              </w:rPr>
              <w:t>1.800,00</w:t>
            </w:r>
          </w:p>
        </w:tc>
        <w:tc>
          <w:tcPr>
            <w:tcW w:w="1690" w:type="dxa"/>
            <w:vAlign w:val="center"/>
          </w:tcPr>
          <w:p w14:paraId="3C72388E" w14:textId="1C48A93D" w:rsidR="005E5FBB" w:rsidRPr="00A35F76" w:rsidRDefault="005E5FBB" w:rsidP="005E5FBB">
            <w:pPr>
              <w:jc w:val="right"/>
              <w:rPr>
                <w:bCs/>
              </w:rPr>
            </w:pPr>
            <w:r w:rsidRPr="00A35F76">
              <w:rPr>
                <w:bCs/>
              </w:rPr>
              <w:t>0,00</w:t>
            </w:r>
          </w:p>
        </w:tc>
        <w:tc>
          <w:tcPr>
            <w:tcW w:w="910" w:type="dxa"/>
            <w:vAlign w:val="center"/>
          </w:tcPr>
          <w:p w14:paraId="04F06E6A" w14:textId="2A9152BE" w:rsidR="005E5FBB" w:rsidRPr="00A35F76" w:rsidRDefault="005E5FBB" w:rsidP="00BB1CEE">
            <w:pPr>
              <w:jc w:val="center"/>
              <w:rPr>
                <w:bCs/>
              </w:rPr>
            </w:pPr>
            <w:r w:rsidRPr="00A35F76">
              <w:rPr>
                <w:bCs/>
              </w:rPr>
              <w:t>0</w:t>
            </w:r>
          </w:p>
        </w:tc>
      </w:tr>
      <w:tr w:rsidR="00A35F76" w:rsidRPr="00A35F76" w14:paraId="266FC370" w14:textId="77777777" w:rsidTr="005E5FBB">
        <w:tc>
          <w:tcPr>
            <w:tcW w:w="1129" w:type="dxa"/>
            <w:vAlign w:val="center"/>
          </w:tcPr>
          <w:p w14:paraId="2BE953EF" w14:textId="16AC01AD" w:rsidR="005E5FBB" w:rsidRPr="00A35F76" w:rsidRDefault="005E5FBB" w:rsidP="005E5FBB">
            <w:pPr>
              <w:jc w:val="center"/>
              <w:rPr>
                <w:b/>
              </w:rPr>
            </w:pPr>
            <w:r w:rsidRPr="00A35F76">
              <w:rPr>
                <w:b/>
              </w:rPr>
              <w:t>42</w:t>
            </w:r>
          </w:p>
        </w:tc>
        <w:tc>
          <w:tcPr>
            <w:tcW w:w="3768" w:type="dxa"/>
          </w:tcPr>
          <w:p w14:paraId="75A61B7F" w14:textId="2E812807" w:rsidR="005E5FBB" w:rsidRPr="00A35F76" w:rsidRDefault="005E5FBB" w:rsidP="00BB1CEE">
            <w:pPr>
              <w:rPr>
                <w:bCs/>
              </w:rPr>
            </w:pPr>
            <w:r w:rsidRPr="00A35F76">
              <w:rPr>
                <w:bCs/>
              </w:rPr>
              <w:t>Rashodi za nabavu proizvedene dugotrajne imovine</w:t>
            </w:r>
          </w:p>
        </w:tc>
        <w:tc>
          <w:tcPr>
            <w:tcW w:w="1565" w:type="dxa"/>
            <w:vAlign w:val="center"/>
          </w:tcPr>
          <w:p w14:paraId="0079C416" w14:textId="2B1D2B3E" w:rsidR="005E5FBB" w:rsidRPr="00A35F76" w:rsidRDefault="005E5FBB" w:rsidP="005E5FBB">
            <w:pPr>
              <w:jc w:val="right"/>
              <w:rPr>
                <w:bCs/>
              </w:rPr>
            </w:pPr>
            <w:r w:rsidRPr="00A35F76">
              <w:rPr>
                <w:bCs/>
              </w:rPr>
              <w:t>29.729,00</w:t>
            </w:r>
          </w:p>
        </w:tc>
        <w:tc>
          <w:tcPr>
            <w:tcW w:w="1690" w:type="dxa"/>
            <w:vAlign w:val="center"/>
          </w:tcPr>
          <w:p w14:paraId="5A6437AA" w14:textId="1DE04C34" w:rsidR="005E5FBB" w:rsidRPr="00A35F76" w:rsidRDefault="005E5FBB" w:rsidP="005E5FBB">
            <w:pPr>
              <w:jc w:val="right"/>
              <w:rPr>
                <w:bCs/>
              </w:rPr>
            </w:pPr>
            <w:r w:rsidRPr="00A35F76">
              <w:rPr>
                <w:bCs/>
              </w:rPr>
              <w:t>9.635,96</w:t>
            </w:r>
          </w:p>
        </w:tc>
        <w:tc>
          <w:tcPr>
            <w:tcW w:w="910" w:type="dxa"/>
            <w:vAlign w:val="center"/>
          </w:tcPr>
          <w:p w14:paraId="51B84D06" w14:textId="763D234C" w:rsidR="005E5FBB" w:rsidRPr="00A35F76" w:rsidRDefault="008101B1" w:rsidP="00BB1CEE">
            <w:pPr>
              <w:jc w:val="center"/>
              <w:rPr>
                <w:bCs/>
              </w:rPr>
            </w:pPr>
            <w:r>
              <w:rPr>
                <w:bCs/>
              </w:rPr>
              <w:t>32</w:t>
            </w:r>
          </w:p>
        </w:tc>
      </w:tr>
      <w:tr w:rsidR="00A35F76" w:rsidRPr="00A35F76" w14:paraId="207D1798" w14:textId="77777777" w:rsidTr="005E5FBB">
        <w:tc>
          <w:tcPr>
            <w:tcW w:w="1129" w:type="dxa"/>
            <w:vAlign w:val="center"/>
          </w:tcPr>
          <w:p w14:paraId="5CA08E6A" w14:textId="3CE4A83D" w:rsidR="005E5FBB" w:rsidRPr="00A35F76" w:rsidRDefault="005E5FBB" w:rsidP="005E5FBB">
            <w:pPr>
              <w:jc w:val="center"/>
              <w:rPr>
                <w:b/>
              </w:rPr>
            </w:pPr>
            <w:r w:rsidRPr="00A35F76">
              <w:rPr>
                <w:b/>
              </w:rPr>
              <w:t>45</w:t>
            </w:r>
          </w:p>
        </w:tc>
        <w:tc>
          <w:tcPr>
            <w:tcW w:w="3768" w:type="dxa"/>
          </w:tcPr>
          <w:p w14:paraId="7FA8CE92" w14:textId="3145C4ED" w:rsidR="005E5FBB" w:rsidRPr="00A35F76" w:rsidRDefault="005E5FBB" w:rsidP="00BB1CEE">
            <w:pPr>
              <w:rPr>
                <w:bCs/>
              </w:rPr>
            </w:pPr>
            <w:r w:rsidRPr="00A35F76">
              <w:rPr>
                <w:bCs/>
              </w:rPr>
              <w:t>Rashodi za dodatna ulaganja na nefinancijskoj imovini</w:t>
            </w:r>
          </w:p>
        </w:tc>
        <w:tc>
          <w:tcPr>
            <w:tcW w:w="1565" w:type="dxa"/>
            <w:vAlign w:val="center"/>
          </w:tcPr>
          <w:p w14:paraId="0A09A6FC" w14:textId="05108BB7" w:rsidR="005E5FBB" w:rsidRPr="00A35F76" w:rsidRDefault="005E5FBB" w:rsidP="005E5FBB">
            <w:pPr>
              <w:jc w:val="right"/>
              <w:rPr>
                <w:bCs/>
              </w:rPr>
            </w:pPr>
            <w:r w:rsidRPr="00A35F76">
              <w:rPr>
                <w:bCs/>
              </w:rPr>
              <w:t>81.974,00</w:t>
            </w:r>
          </w:p>
        </w:tc>
        <w:tc>
          <w:tcPr>
            <w:tcW w:w="1690" w:type="dxa"/>
            <w:vAlign w:val="center"/>
          </w:tcPr>
          <w:p w14:paraId="2F57D369" w14:textId="571AC03D" w:rsidR="005E5FBB" w:rsidRPr="00A35F76" w:rsidRDefault="005E5FBB" w:rsidP="005E5FBB">
            <w:pPr>
              <w:jc w:val="right"/>
              <w:rPr>
                <w:bCs/>
              </w:rPr>
            </w:pPr>
            <w:r w:rsidRPr="00A35F76">
              <w:rPr>
                <w:bCs/>
              </w:rPr>
              <w:t>1.981,53</w:t>
            </w:r>
          </w:p>
        </w:tc>
        <w:tc>
          <w:tcPr>
            <w:tcW w:w="910" w:type="dxa"/>
            <w:vAlign w:val="center"/>
          </w:tcPr>
          <w:p w14:paraId="57563005" w14:textId="384DC2F2" w:rsidR="005E5FBB" w:rsidRPr="00A35F76" w:rsidRDefault="005E5FBB" w:rsidP="00BB1CEE">
            <w:pPr>
              <w:jc w:val="center"/>
              <w:rPr>
                <w:bCs/>
              </w:rPr>
            </w:pPr>
            <w:r w:rsidRPr="00A35F76">
              <w:rPr>
                <w:bCs/>
              </w:rPr>
              <w:t>2</w:t>
            </w:r>
          </w:p>
        </w:tc>
      </w:tr>
      <w:tr w:rsidR="00A35F76" w:rsidRPr="00A35F76" w14:paraId="36917D05" w14:textId="77777777" w:rsidTr="005E5FBB">
        <w:tc>
          <w:tcPr>
            <w:tcW w:w="1129" w:type="dxa"/>
          </w:tcPr>
          <w:p w14:paraId="6EC7E173" w14:textId="77777777" w:rsidR="005E5FBB" w:rsidRPr="00A35F76" w:rsidRDefault="005E5FBB" w:rsidP="00BB1CEE">
            <w:pPr>
              <w:jc w:val="right"/>
              <w:rPr>
                <w:b/>
              </w:rPr>
            </w:pPr>
          </w:p>
        </w:tc>
        <w:tc>
          <w:tcPr>
            <w:tcW w:w="3768" w:type="dxa"/>
          </w:tcPr>
          <w:p w14:paraId="265FF781" w14:textId="16845BF1" w:rsidR="005E5FBB" w:rsidRPr="00A35F76" w:rsidRDefault="005E5FBB" w:rsidP="00BB1CEE">
            <w:pPr>
              <w:jc w:val="right"/>
              <w:rPr>
                <w:b/>
              </w:rPr>
            </w:pPr>
            <w:r w:rsidRPr="00A35F76">
              <w:rPr>
                <w:b/>
              </w:rPr>
              <w:t>UKUPNO:</w:t>
            </w:r>
          </w:p>
        </w:tc>
        <w:tc>
          <w:tcPr>
            <w:tcW w:w="1565" w:type="dxa"/>
          </w:tcPr>
          <w:p w14:paraId="4AA6C690" w14:textId="12F61F2F" w:rsidR="005E5FBB" w:rsidRPr="00A35F76" w:rsidRDefault="005E5FBB" w:rsidP="00BB1CEE">
            <w:pPr>
              <w:jc w:val="right"/>
              <w:rPr>
                <w:b/>
              </w:rPr>
            </w:pPr>
            <w:r w:rsidRPr="00A35F76">
              <w:rPr>
                <w:b/>
              </w:rPr>
              <w:t>3.601.484,00</w:t>
            </w:r>
          </w:p>
        </w:tc>
        <w:tc>
          <w:tcPr>
            <w:tcW w:w="1690" w:type="dxa"/>
          </w:tcPr>
          <w:p w14:paraId="7B1C4CB7" w14:textId="6A022B68" w:rsidR="005E5FBB" w:rsidRPr="00A35F76" w:rsidRDefault="005E5FBB" w:rsidP="00BB1CEE">
            <w:pPr>
              <w:jc w:val="right"/>
              <w:rPr>
                <w:b/>
              </w:rPr>
            </w:pPr>
            <w:r w:rsidRPr="00A35F76">
              <w:rPr>
                <w:b/>
              </w:rPr>
              <w:t>1.581.250,01</w:t>
            </w:r>
          </w:p>
        </w:tc>
        <w:tc>
          <w:tcPr>
            <w:tcW w:w="910" w:type="dxa"/>
          </w:tcPr>
          <w:p w14:paraId="07B7F07C" w14:textId="1A4E39F1" w:rsidR="005E5FBB" w:rsidRPr="00A35F76" w:rsidRDefault="005E5FBB" w:rsidP="00BB1CEE">
            <w:pPr>
              <w:jc w:val="center"/>
              <w:rPr>
                <w:b/>
              </w:rPr>
            </w:pPr>
            <w:r w:rsidRPr="00A35F76">
              <w:rPr>
                <w:b/>
              </w:rPr>
              <w:t>44</w:t>
            </w:r>
          </w:p>
        </w:tc>
      </w:tr>
    </w:tbl>
    <w:p w14:paraId="0675F699" w14:textId="77777777" w:rsidR="00D15631" w:rsidRPr="007143FD" w:rsidRDefault="00D15631" w:rsidP="005D70AA">
      <w:pPr>
        <w:rPr>
          <w:b/>
          <w:color w:val="FF0000"/>
        </w:rPr>
      </w:pPr>
    </w:p>
    <w:p w14:paraId="1E350818" w14:textId="77777777" w:rsidR="00D12214" w:rsidRPr="00AB6DF4" w:rsidRDefault="00D12214" w:rsidP="00AB6DF4">
      <w:pPr>
        <w:ind w:left="12" w:firstLine="348"/>
        <w:jc w:val="both"/>
        <w:rPr>
          <w:bCs/>
        </w:rPr>
      </w:pPr>
      <w:r w:rsidRPr="00AB6DF4">
        <w:rPr>
          <w:bCs/>
        </w:rPr>
        <w:t>Kao što se vidi iz gore navedene tablice rashoda/izdataka, indekse u izvršenju nemaju:</w:t>
      </w:r>
    </w:p>
    <w:p w14:paraId="03069072" w14:textId="4DC0C86F" w:rsidR="00D12214" w:rsidRPr="00AB6DF4" w:rsidRDefault="00D12214" w:rsidP="00D12214">
      <w:pPr>
        <w:pStyle w:val="Odlomakpopisa"/>
        <w:numPr>
          <w:ilvl w:val="0"/>
          <w:numId w:val="1"/>
        </w:numPr>
        <w:jc w:val="both"/>
        <w:rPr>
          <w:bCs/>
        </w:rPr>
      </w:pPr>
      <w:r w:rsidRPr="00AB6DF4">
        <w:rPr>
          <w:bCs/>
        </w:rPr>
        <w:t xml:space="preserve"> </w:t>
      </w:r>
      <w:r w:rsidRPr="00AB6DF4">
        <w:rPr>
          <w:b/>
        </w:rPr>
        <w:t>3</w:t>
      </w:r>
      <w:r w:rsidR="00D34642" w:rsidRPr="00AB6DF4">
        <w:rPr>
          <w:b/>
        </w:rPr>
        <w:t>8</w:t>
      </w:r>
      <w:r w:rsidRPr="00AB6DF4">
        <w:rPr>
          <w:b/>
        </w:rPr>
        <w:t xml:space="preserve"> </w:t>
      </w:r>
      <w:r w:rsidR="00D34642" w:rsidRPr="00AB6DF4">
        <w:rPr>
          <w:b/>
        </w:rPr>
        <w:t>Ostali</w:t>
      </w:r>
      <w:r w:rsidRPr="00AB6DF4">
        <w:rPr>
          <w:b/>
        </w:rPr>
        <w:t xml:space="preserve"> rashodi</w:t>
      </w:r>
      <w:r w:rsidRPr="00AB6DF4">
        <w:rPr>
          <w:bCs/>
        </w:rPr>
        <w:t xml:space="preserve"> koji će biti realizirani </w:t>
      </w:r>
      <w:r w:rsidR="00D34642" w:rsidRPr="00AB6DF4">
        <w:rPr>
          <w:bCs/>
        </w:rPr>
        <w:t>u rujnu ove godine za kupovinu higijenskih uložaka.</w:t>
      </w:r>
    </w:p>
    <w:p w14:paraId="6CCBD5B6" w14:textId="468896D0" w:rsidR="00D34642" w:rsidRPr="00AB6DF4" w:rsidRDefault="00D34642" w:rsidP="00AB6DF4">
      <w:pPr>
        <w:ind w:firstLine="360"/>
        <w:jc w:val="both"/>
        <w:rPr>
          <w:bCs/>
        </w:rPr>
      </w:pPr>
      <w:r w:rsidRPr="00AB6DF4">
        <w:rPr>
          <w:bCs/>
        </w:rPr>
        <w:t>Malu realizaciju imaju skupine</w:t>
      </w:r>
      <w:r w:rsidR="00741750">
        <w:rPr>
          <w:bCs/>
        </w:rPr>
        <w:t>:</w:t>
      </w:r>
      <w:r w:rsidRPr="00AB6DF4">
        <w:rPr>
          <w:bCs/>
        </w:rPr>
        <w:t xml:space="preserve"> </w:t>
      </w:r>
    </w:p>
    <w:p w14:paraId="44730CE8" w14:textId="77777777" w:rsidR="00D34642" w:rsidRPr="00AB6DF4" w:rsidRDefault="00D12214" w:rsidP="00D34642">
      <w:pPr>
        <w:pStyle w:val="Odlomakpopisa"/>
        <w:numPr>
          <w:ilvl w:val="0"/>
          <w:numId w:val="1"/>
        </w:numPr>
        <w:jc w:val="both"/>
        <w:rPr>
          <w:bCs/>
        </w:rPr>
      </w:pPr>
      <w:r w:rsidRPr="00AB6DF4">
        <w:rPr>
          <w:b/>
        </w:rPr>
        <w:t>37 Naknade građanima i kućanstvima na temelju osiguranja i druge naknade</w:t>
      </w:r>
      <w:r w:rsidRPr="00AB6DF4">
        <w:rPr>
          <w:bCs/>
        </w:rPr>
        <w:t xml:space="preserve"> </w:t>
      </w:r>
      <w:r w:rsidR="00D34642" w:rsidRPr="00AB6DF4">
        <w:rPr>
          <w:bCs/>
        </w:rPr>
        <w:t xml:space="preserve">(indeks 1) </w:t>
      </w:r>
      <w:r w:rsidRPr="00AB6DF4">
        <w:rPr>
          <w:bCs/>
        </w:rPr>
        <w:t>koj</w:t>
      </w:r>
      <w:r w:rsidR="00D34642" w:rsidRPr="00AB6DF4">
        <w:rPr>
          <w:bCs/>
        </w:rPr>
        <w:t>a</w:t>
      </w:r>
      <w:r w:rsidRPr="00AB6DF4">
        <w:rPr>
          <w:bCs/>
        </w:rPr>
        <w:t xml:space="preserve"> će biti realiziran</w:t>
      </w:r>
      <w:r w:rsidR="00D34642" w:rsidRPr="00AB6DF4">
        <w:rPr>
          <w:bCs/>
        </w:rPr>
        <w:t>a</w:t>
      </w:r>
      <w:r w:rsidRPr="00AB6DF4">
        <w:rPr>
          <w:bCs/>
        </w:rPr>
        <w:t xml:space="preserve"> kada se isporuče udžbenici za učenike škole</w:t>
      </w:r>
      <w:r w:rsidR="00D34642" w:rsidRPr="00AB6DF4">
        <w:rPr>
          <w:bCs/>
        </w:rPr>
        <w:t>.</w:t>
      </w:r>
    </w:p>
    <w:p w14:paraId="2FD9DF3C" w14:textId="7FEB0819" w:rsidR="00D34642" w:rsidRPr="00AB6DF4" w:rsidRDefault="00D12214" w:rsidP="00D34642">
      <w:pPr>
        <w:pStyle w:val="Odlomakpopisa"/>
        <w:numPr>
          <w:ilvl w:val="0"/>
          <w:numId w:val="1"/>
        </w:numPr>
        <w:jc w:val="both"/>
        <w:rPr>
          <w:bCs/>
        </w:rPr>
      </w:pPr>
      <w:r w:rsidRPr="00AB6DF4">
        <w:rPr>
          <w:b/>
        </w:rPr>
        <w:t>45 Rashodi za dodatna ulaganja na nefinancijskoj imovini</w:t>
      </w:r>
      <w:r w:rsidR="00D34642" w:rsidRPr="00AB6DF4">
        <w:rPr>
          <w:bCs/>
        </w:rPr>
        <w:t xml:space="preserve"> (indeks 2) </w:t>
      </w:r>
      <w:r w:rsidR="00AB6DF4" w:rsidRPr="00AB6DF4">
        <w:rPr>
          <w:bCs/>
        </w:rPr>
        <w:t>koja će se realizirati</w:t>
      </w:r>
      <w:r w:rsidRPr="00AB6DF4">
        <w:rPr>
          <w:bCs/>
        </w:rPr>
        <w:t xml:space="preserve"> kad</w:t>
      </w:r>
      <w:r w:rsidR="002A0027" w:rsidRPr="00AB6DF4">
        <w:rPr>
          <w:bCs/>
        </w:rPr>
        <w:t>a</w:t>
      </w:r>
      <w:r w:rsidRPr="00AB6DF4">
        <w:rPr>
          <w:bCs/>
        </w:rPr>
        <w:t xml:space="preserve"> bude </w:t>
      </w:r>
      <w:r w:rsidR="002A0027" w:rsidRPr="00AB6DF4">
        <w:rPr>
          <w:bCs/>
        </w:rPr>
        <w:t>izvršen</w:t>
      </w:r>
      <w:r w:rsidR="00D34642" w:rsidRPr="00AB6DF4">
        <w:rPr>
          <w:bCs/>
        </w:rPr>
        <w:t xml:space="preserve">a obnova vodovoda i kanalizacije na katu škole. </w:t>
      </w:r>
    </w:p>
    <w:p w14:paraId="25E87100" w14:textId="623AEF41" w:rsidR="00B11945" w:rsidRPr="00AB6DF4" w:rsidRDefault="00D34642" w:rsidP="00D34642">
      <w:pPr>
        <w:pStyle w:val="Odlomakpopisa"/>
        <w:numPr>
          <w:ilvl w:val="0"/>
          <w:numId w:val="1"/>
        </w:numPr>
        <w:jc w:val="both"/>
        <w:rPr>
          <w:b/>
        </w:rPr>
      </w:pPr>
      <w:r w:rsidRPr="00AB6DF4">
        <w:rPr>
          <w:b/>
        </w:rPr>
        <w:t>42 Rashodi za nabavu proizvedene dugotrajne imovine</w:t>
      </w:r>
      <w:r w:rsidRPr="00AB6DF4">
        <w:rPr>
          <w:bCs/>
        </w:rPr>
        <w:t xml:space="preserve"> (indeks </w:t>
      </w:r>
      <w:r w:rsidR="003B3994">
        <w:rPr>
          <w:bCs/>
        </w:rPr>
        <w:t>32</w:t>
      </w:r>
      <w:r w:rsidRPr="00AB6DF4">
        <w:rPr>
          <w:bCs/>
        </w:rPr>
        <w:t>) koj</w:t>
      </w:r>
      <w:r w:rsidR="00AB6DF4" w:rsidRPr="00AB6DF4">
        <w:rPr>
          <w:bCs/>
        </w:rPr>
        <w:t>a</w:t>
      </w:r>
      <w:r w:rsidRPr="00AB6DF4">
        <w:rPr>
          <w:bCs/>
        </w:rPr>
        <w:t xml:space="preserve"> će se </w:t>
      </w:r>
      <w:r w:rsidR="00AB6DF4" w:rsidRPr="00AB6DF4">
        <w:rPr>
          <w:bCs/>
        </w:rPr>
        <w:t>realizirati</w:t>
      </w:r>
      <w:r w:rsidRPr="00AB6DF4">
        <w:rPr>
          <w:bCs/>
        </w:rPr>
        <w:t xml:space="preserve"> u drugom polugodištu godine</w:t>
      </w:r>
      <w:r w:rsidR="003B3994">
        <w:rPr>
          <w:bCs/>
        </w:rPr>
        <w:t xml:space="preserve"> kad se realizira ugovor za računalnu opremu (televizore), ugovor za udžbenike, nabava klima uređaja i knjiga za knjižnicu.</w:t>
      </w:r>
    </w:p>
    <w:p w14:paraId="219B4989" w14:textId="5ADB8391" w:rsidR="00AB6DF4" w:rsidRPr="00AB6DF4" w:rsidRDefault="00AB6DF4" w:rsidP="00AB6DF4">
      <w:pPr>
        <w:ind w:firstLine="360"/>
        <w:jc w:val="both"/>
        <w:rPr>
          <w:bCs/>
        </w:rPr>
      </w:pPr>
      <w:r w:rsidRPr="00AB6DF4">
        <w:rPr>
          <w:b/>
        </w:rPr>
        <w:t xml:space="preserve">Skupina 34 </w:t>
      </w:r>
      <w:r w:rsidRPr="00AB6DF4">
        <w:rPr>
          <w:bCs/>
        </w:rPr>
        <w:t>ima realizaciju 100 jer su isplaćene zatezne kamate po posljednjoj sudskoj tužbi od kolegice DF.</w:t>
      </w:r>
    </w:p>
    <w:p w14:paraId="03984DC0" w14:textId="77777777" w:rsidR="008E5985" w:rsidRPr="008E5985" w:rsidRDefault="008E5985" w:rsidP="008E5985">
      <w:pPr>
        <w:jc w:val="both"/>
        <w:rPr>
          <w:b/>
          <w:color w:val="FF0000"/>
        </w:rPr>
      </w:pPr>
    </w:p>
    <w:p w14:paraId="3E5AE963" w14:textId="65EE6849" w:rsidR="00D90408" w:rsidRPr="00AB6DF4" w:rsidRDefault="0067780D" w:rsidP="00CB3CEC">
      <w:pPr>
        <w:ind w:firstLine="708"/>
        <w:jc w:val="both"/>
      </w:pPr>
      <w:r w:rsidRPr="00AB6DF4">
        <w:rPr>
          <w:b/>
        </w:rPr>
        <w:t xml:space="preserve">Obrazloženje izvršenja planiranih rashoda i izdataka </w:t>
      </w:r>
      <w:r w:rsidR="003B3994">
        <w:rPr>
          <w:b/>
        </w:rPr>
        <w:t xml:space="preserve">po odjeljcima </w:t>
      </w:r>
      <w:r w:rsidRPr="00AB6DF4">
        <w:rPr>
          <w:b/>
        </w:rPr>
        <w:t>u razdoblju 01.01.-30.06.202</w:t>
      </w:r>
      <w:r w:rsidR="00AB6DF4" w:rsidRPr="00AB6DF4">
        <w:rPr>
          <w:b/>
        </w:rPr>
        <w:t>4</w:t>
      </w:r>
      <w:r w:rsidRPr="00AB6DF4">
        <w:rPr>
          <w:b/>
        </w:rPr>
        <w:t>. godine</w:t>
      </w:r>
      <w:r w:rsidR="0086030F" w:rsidRPr="00AB6DF4">
        <w:rPr>
          <w:bCs/>
        </w:rPr>
        <w:t>:</w:t>
      </w:r>
      <w:r w:rsidR="00CB3CEC" w:rsidRPr="00AB6DF4">
        <w:t xml:space="preserve"> </w:t>
      </w:r>
    </w:p>
    <w:p w14:paraId="3DBBDC3D" w14:textId="77777777" w:rsidR="00782265" w:rsidRPr="00C33DB2" w:rsidRDefault="00782265" w:rsidP="00782265">
      <w:pPr>
        <w:rPr>
          <w:color w:val="FF0000"/>
          <w:sz w:val="22"/>
          <w:szCs w:val="22"/>
        </w:rPr>
      </w:pPr>
    </w:p>
    <w:p w14:paraId="6AFCE880" w14:textId="761900B1" w:rsidR="00782265" w:rsidRDefault="00782265" w:rsidP="00782265">
      <w:pPr>
        <w:ind w:firstLine="708"/>
        <w:jc w:val="both"/>
      </w:pPr>
      <w:r w:rsidRPr="00782265">
        <w:rPr>
          <w:color w:val="000000"/>
        </w:rPr>
        <w:t>Uvođenjem nove</w:t>
      </w:r>
      <w:r w:rsidRPr="00782265">
        <w:rPr>
          <w:i/>
          <w:iCs/>
          <w:color w:val="000000"/>
        </w:rPr>
        <w:t xml:space="preserve"> Uredbe o nazivima radnih mjesta, uvjetima za raspored i koeficijentima za obračun plaće u javnim službama</w:t>
      </w:r>
      <w:r w:rsidRPr="00782265">
        <w:rPr>
          <w:color w:val="000000"/>
        </w:rPr>
        <w:t>, koja je u primjeni od 01.03.2024. godine, a s kojom se svim zaposlenicima povećala osnovna plaća, povećali su se</w:t>
      </w:r>
      <w:r>
        <w:rPr>
          <w:color w:val="000000"/>
        </w:rPr>
        <w:t xml:space="preserve"> u odnosu na isto razdoblje prošle godine</w:t>
      </w:r>
      <w:r w:rsidRPr="00782265">
        <w:rPr>
          <w:color w:val="000000"/>
        </w:rPr>
        <w:t xml:space="preserve"> indeksi na odjeljcima </w:t>
      </w:r>
      <w:r w:rsidRPr="00782265">
        <w:rPr>
          <w:b/>
          <w:bCs/>
          <w:color w:val="000000"/>
        </w:rPr>
        <w:t>3111</w:t>
      </w:r>
      <w:r w:rsidRPr="00782265">
        <w:rPr>
          <w:color w:val="000000"/>
        </w:rPr>
        <w:t xml:space="preserve"> Plaće za redovan rad (indeks 127</w:t>
      </w:r>
      <w:r>
        <w:rPr>
          <w:color w:val="000000"/>
        </w:rPr>
        <w:t>)</w:t>
      </w:r>
      <w:r w:rsidRPr="00782265">
        <w:t xml:space="preserve">, </w:t>
      </w:r>
      <w:r w:rsidRPr="00782265">
        <w:rPr>
          <w:b/>
          <w:bCs/>
        </w:rPr>
        <w:t>3113</w:t>
      </w:r>
      <w:r w:rsidRPr="00782265">
        <w:t xml:space="preserve"> Plaće za prekovremeni rad (indeks 121)</w:t>
      </w:r>
      <w:r w:rsidRPr="00782265">
        <w:rPr>
          <w:color w:val="000000"/>
        </w:rPr>
        <w:t xml:space="preserve">, </w:t>
      </w:r>
      <w:r w:rsidRPr="00782265">
        <w:rPr>
          <w:b/>
          <w:bCs/>
          <w:color w:val="000000"/>
        </w:rPr>
        <w:t>3114</w:t>
      </w:r>
      <w:r w:rsidRPr="00782265">
        <w:rPr>
          <w:color w:val="000000"/>
        </w:rPr>
        <w:t xml:space="preserve"> Plaće za posebne uvjete rada (indeks 125</w:t>
      </w:r>
      <w:r w:rsidRPr="00782265">
        <w:t xml:space="preserve">),  </w:t>
      </w:r>
      <w:r w:rsidRPr="00782265">
        <w:rPr>
          <w:b/>
          <w:bCs/>
        </w:rPr>
        <w:t>3132</w:t>
      </w:r>
      <w:r w:rsidRPr="00782265">
        <w:t xml:space="preserve"> Doprinosi za ZO (indeks 125).</w:t>
      </w:r>
      <w:r w:rsidRPr="00782265">
        <w:rPr>
          <w:color w:val="000000"/>
        </w:rPr>
        <w:t xml:space="preserve"> Također je novim Kolektivnim ugovorom za zaposlene u javnim i državnim službama osigurano novo materijalno pravo za sve </w:t>
      </w:r>
      <w:r w:rsidRPr="00782265">
        <w:t xml:space="preserve">zaposlenike, a to je uskrsnica te stoga imamo povećanje indeksa na </w:t>
      </w:r>
      <w:r>
        <w:t>odjeljku</w:t>
      </w:r>
      <w:r w:rsidRPr="00782265">
        <w:t xml:space="preserve"> </w:t>
      </w:r>
      <w:r w:rsidRPr="00782265">
        <w:rPr>
          <w:b/>
          <w:bCs/>
        </w:rPr>
        <w:t>312</w:t>
      </w:r>
      <w:r>
        <w:rPr>
          <w:b/>
          <w:bCs/>
        </w:rPr>
        <w:t>1</w:t>
      </w:r>
      <w:r w:rsidRPr="00782265">
        <w:t xml:space="preserve"> </w:t>
      </w:r>
      <w:r w:rsidR="003B3994">
        <w:t xml:space="preserve">Ostali rashodi za zaposlene </w:t>
      </w:r>
      <w:r w:rsidRPr="00782265">
        <w:t xml:space="preserve">s indeksom </w:t>
      </w:r>
      <w:r>
        <w:t>133</w:t>
      </w:r>
      <w:r w:rsidRPr="00782265">
        <w:t xml:space="preserve">. </w:t>
      </w:r>
    </w:p>
    <w:p w14:paraId="43F64797" w14:textId="77777777" w:rsidR="004D25C8" w:rsidRPr="00782265" w:rsidRDefault="004D25C8" w:rsidP="00782265">
      <w:pPr>
        <w:ind w:firstLine="708"/>
        <w:jc w:val="both"/>
      </w:pPr>
    </w:p>
    <w:p w14:paraId="58243662" w14:textId="05AC1F0A" w:rsidR="00C15C09" w:rsidRPr="00A231E9" w:rsidRDefault="009875F8" w:rsidP="009875F8">
      <w:pPr>
        <w:ind w:firstLine="708"/>
        <w:jc w:val="both"/>
      </w:pPr>
      <w:r w:rsidRPr="00A231E9">
        <w:t xml:space="preserve">Odjeljak </w:t>
      </w:r>
      <w:r w:rsidRPr="00A231E9">
        <w:rPr>
          <w:b/>
          <w:bCs/>
        </w:rPr>
        <w:t>3212</w:t>
      </w:r>
      <w:r w:rsidRPr="00A231E9">
        <w:t xml:space="preserve"> Naknade za prijevoz, za rad na terenu i odvojeni život s realizacijom 16.588,69 EUR ima indeks 112</w:t>
      </w:r>
      <w:r w:rsidR="0009280C">
        <w:t xml:space="preserve">. Razlozi su što </w:t>
      </w:r>
      <w:r w:rsidRPr="00A231E9">
        <w:t>u novom</w:t>
      </w:r>
      <w:r w:rsidR="00782265" w:rsidRPr="00A231E9">
        <w:t xml:space="preserve"> Temeljno</w:t>
      </w:r>
      <w:r w:rsidRPr="00A231E9">
        <w:t>m</w:t>
      </w:r>
      <w:r w:rsidR="00782265" w:rsidRPr="00A231E9">
        <w:t xml:space="preserve"> kolektivno</w:t>
      </w:r>
      <w:r w:rsidRPr="00A231E9">
        <w:t>m</w:t>
      </w:r>
      <w:r w:rsidR="00782265" w:rsidRPr="00A231E9">
        <w:t xml:space="preserve"> ugovor</w:t>
      </w:r>
      <w:r w:rsidRPr="00A231E9">
        <w:t xml:space="preserve">u postoji pravo </w:t>
      </w:r>
      <w:r w:rsidR="00782265" w:rsidRPr="00A231E9">
        <w:t>za starije od 58 godina</w:t>
      </w:r>
      <w:r w:rsidRPr="00A231E9">
        <w:t xml:space="preserve"> s</w:t>
      </w:r>
      <w:r w:rsidR="00782265" w:rsidRPr="00A231E9">
        <w:t xml:space="preserve"> kojim</w:t>
      </w:r>
      <w:r w:rsidRPr="00A231E9">
        <w:t xml:space="preserve"> im</w:t>
      </w:r>
      <w:r w:rsidR="00782265" w:rsidRPr="00A231E9">
        <w:t xml:space="preserve"> se priznaje prijevoz i za udaljenost manju od 2 km</w:t>
      </w:r>
      <w:r w:rsidR="0009280C">
        <w:t xml:space="preserve"> te je prosječna cijena po kilometru u 2024. godini iznosila 0,17 EUR, a 2023. godine 0,16 EUR/km.</w:t>
      </w:r>
      <w:r w:rsidR="00782265" w:rsidRPr="00A231E9">
        <w:t xml:space="preserve"> </w:t>
      </w:r>
    </w:p>
    <w:p w14:paraId="31539EF2" w14:textId="77777777" w:rsidR="00A231E9" w:rsidRPr="00A231E9" w:rsidRDefault="009875F8" w:rsidP="00782265">
      <w:pPr>
        <w:ind w:firstLine="708"/>
        <w:jc w:val="both"/>
      </w:pPr>
      <w:r w:rsidRPr="00A231E9">
        <w:t xml:space="preserve">Odjeljak </w:t>
      </w:r>
      <w:r w:rsidRPr="00A231E9">
        <w:rPr>
          <w:b/>
          <w:bCs/>
        </w:rPr>
        <w:t>3213</w:t>
      </w:r>
      <w:r w:rsidRPr="00A231E9">
        <w:t xml:space="preserve"> Stručno usavršavanje zaposlenika ima realizaciju od </w:t>
      </w:r>
      <w:r w:rsidR="00A231E9" w:rsidRPr="00A231E9">
        <w:t>752,00 EUR te indeks 141 jer su u odnosu na 2023. godinu na usavršavanje išle dvije učiteljice više</w:t>
      </w:r>
      <w:r w:rsidR="00782265" w:rsidRPr="00A231E9">
        <w:t>.</w:t>
      </w:r>
    </w:p>
    <w:p w14:paraId="1E96950C" w14:textId="133589B0" w:rsidR="00A231E9" w:rsidRPr="00A231E9" w:rsidRDefault="00A231E9" w:rsidP="00782265">
      <w:pPr>
        <w:ind w:firstLine="708"/>
        <w:jc w:val="both"/>
      </w:pPr>
      <w:r w:rsidRPr="00A231E9">
        <w:t xml:space="preserve">Odjeljak </w:t>
      </w:r>
      <w:r w:rsidRPr="00A231E9">
        <w:rPr>
          <w:b/>
          <w:bCs/>
        </w:rPr>
        <w:t>3214</w:t>
      </w:r>
      <w:r w:rsidRPr="00A231E9">
        <w:t xml:space="preserve"> Ostale naknade troškova zaposlenima biljež</w:t>
      </w:r>
      <w:r w:rsidR="0009280C">
        <w:t xml:space="preserve">i </w:t>
      </w:r>
      <w:r w:rsidRPr="00A231E9">
        <w:t>ostvarenje od 45,00 EUR te veći indeks od 216 jer su dvije učiteljice koristile vlastiti auto u službene svrhe za razliku od 2023. godine kad je samo jedna učiteljica išla na službeni put manji od 30 km vlastitim automobilom.</w:t>
      </w:r>
    </w:p>
    <w:p w14:paraId="1FC18602" w14:textId="24F0FE8F" w:rsidR="00A231E9" w:rsidRPr="00A231E9" w:rsidRDefault="00782265" w:rsidP="00782265">
      <w:pPr>
        <w:ind w:firstLine="708"/>
        <w:jc w:val="both"/>
      </w:pPr>
      <w:r w:rsidRPr="00A231E9">
        <w:t xml:space="preserve">Odjeljak </w:t>
      </w:r>
      <w:r w:rsidRPr="00A231E9">
        <w:rPr>
          <w:b/>
          <w:bCs/>
        </w:rPr>
        <w:t>3221</w:t>
      </w:r>
      <w:r w:rsidRPr="00A231E9">
        <w:t xml:space="preserve"> Uredski materijal i ostali materijalni rashodi bilježi povećanje zbog veće potrošnje materijala za čišćenje i ima indeks 119</w:t>
      </w:r>
      <w:r w:rsidR="00A231E9" w:rsidRPr="00A231E9">
        <w:t xml:space="preserve"> i realizaciju od 15.095,11 EUR.</w:t>
      </w:r>
    </w:p>
    <w:p w14:paraId="44AF5CBB" w14:textId="7FF16148" w:rsidR="00A231E9" w:rsidRPr="00A231E9" w:rsidRDefault="00782265" w:rsidP="00782265">
      <w:pPr>
        <w:ind w:firstLine="708"/>
        <w:jc w:val="both"/>
      </w:pPr>
      <w:r w:rsidRPr="00A231E9">
        <w:t xml:space="preserve"> Odjeljak </w:t>
      </w:r>
      <w:r w:rsidRPr="00A231E9">
        <w:rPr>
          <w:b/>
          <w:bCs/>
        </w:rPr>
        <w:t>3222</w:t>
      </w:r>
      <w:r w:rsidRPr="00A231E9">
        <w:t xml:space="preserve"> Materijal i sirovine bilježi </w:t>
      </w:r>
      <w:r w:rsidR="00A231E9" w:rsidRPr="00A231E9">
        <w:t xml:space="preserve">realizaciju od 118.394,09 EUR i </w:t>
      </w:r>
      <w:r w:rsidRPr="00A231E9">
        <w:t>rast indeksa na 12</w:t>
      </w:r>
      <w:r w:rsidR="0009280C">
        <w:t>6</w:t>
      </w:r>
      <w:r w:rsidR="00A231E9" w:rsidRPr="00A231E9">
        <w:t xml:space="preserve"> u odnosu na isto razdoblje prošle godine,</w:t>
      </w:r>
      <w:r w:rsidRPr="00A231E9">
        <w:t xml:space="preserve"> dijelom zbog poskupljenja namirnica iz novih ugovora s dobavljačima, a dijelom zbog većih narudžbi namirnica za školsku kuhinju. Prošle godine smo imali neutrošena sredstva od MZO-a za prehranu pa smo morali novac vraćati, a ove godine smo sve utrošili. </w:t>
      </w:r>
    </w:p>
    <w:p w14:paraId="1EC6DD40" w14:textId="77777777" w:rsidR="00A231E9" w:rsidRDefault="00782265" w:rsidP="004D25C8">
      <w:pPr>
        <w:ind w:firstLine="708"/>
        <w:jc w:val="both"/>
        <w:rPr>
          <w:color w:val="00B0F0"/>
        </w:rPr>
      </w:pPr>
      <w:r w:rsidRPr="00A231E9">
        <w:t xml:space="preserve">Odjeljak </w:t>
      </w:r>
      <w:r w:rsidRPr="00A231E9">
        <w:rPr>
          <w:b/>
          <w:bCs/>
        </w:rPr>
        <w:t>3223</w:t>
      </w:r>
      <w:r w:rsidRPr="00A231E9">
        <w:t xml:space="preserve"> Energija bilježi </w:t>
      </w:r>
      <w:r w:rsidR="00A231E9" w:rsidRPr="00A231E9">
        <w:t xml:space="preserve">realizaciju od 22.550,93 EUR te </w:t>
      </w:r>
      <w:r w:rsidRPr="00A231E9">
        <w:t xml:space="preserve">rast  indeksa na 112 jer smo početkom godine bili bez ugovora za plin pa nam je naplaćivana veća cijena usluge. </w:t>
      </w:r>
    </w:p>
    <w:p w14:paraId="098C6E9C" w14:textId="3F89F55E" w:rsidR="00A231E9" w:rsidRPr="00A231E9" w:rsidRDefault="00782265" w:rsidP="00A231E9">
      <w:pPr>
        <w:ind w:firstLine="708"/>
        <w:jc w:val="both"/>
      </w:pPr>
      <w:r w:rsidRPr="00A231E9">
        <w:t xml:space="preserve">Odjeljak </w:t>
      </w:r>
      <w:r w:rsidRPr="00A231E9">
        <w:rPr>
          <w:b/>
          <w:bCs/>
        </w:rPr>
        <w:t>3224</w:t>
      </w:r>
      <w:r w:rsidRPr="00A231E9">
        <w:t xml:space="preserve"> Materijal i dijelovi za tekuće i investicijsko održavanje bilježi porast indeksa </w:t>
      </w:r>
      <w:r w:rsidR="00A231E9" w:rsidRPr="00A231E9">
        <w:t xml:space="preserve">u odnosu na isto razdoblje prošle godine </w:t>
      </w:r>
      <w:r w:rsidRPr="00A231E9">
        <w:t>na 21</w:t>
      </w:r>
      <w:r w:rsidR="005B2F88">
        <w:t>8</w:t>
      </w:r>
      <w:r w:rsidRPr="00A231E9">
        <w:t xml:space="preserve"> zbog većih popravaka inventara škole u odnosu na isto razdoblje prošle godine</w:t>
      </w:r>
      <w:r w:rsidR="00A231E9" w:rsidRPr="00A231E9">
        <w:t>, a realizacija je 1.398,00 EUR.</w:t>
      </w:r>
    </w:p>
    <w:p w14:paraId="07AA0137" w14:textId="0BC1EE0E" w:rsidR="00782265" w:rsidRDefault="004D25C8" w:rsidP="00A231E9">
      <w:pPr>
        <w:ind w:firstLine="708"/>
        <w:jc w:val="both"/>
        <w:rPr>
          <w:color w:val="00B0F0"/>
        </w:rPr>
      </w:pPr>
      <w:r w:rsidRPr="004D25C8">
        <w:t>Odjeljak</w:t>
      </w:r>
      <w:r w:rsidR="00782265" w:rsidRPr="004D25C8">
        <w:t xml:space="preserve"> </w:t>
      </w:r>
      <w:r w:rsidR="00782265" w:rsidRPr="004D25C8">
        <w:rPr>
          <w:b/>
          <w:bCs/>
        </w:rPr>
        <w:t>3225</w:t>
      </w:r>
      <w:r w:rsidR="00782265" w:rsidRPr="004D25C8">
        <w:t xml:space="preserve"> Sitni inventar </w:t>
      </w:r>
      <w:r w:rsidRPr="004D25C8">
        <w:t xml:space="preserve">ima indeks </w:t>
      </w:r>
      <w:r w:rsidR="00782265" w:rsidRPr="004D25C8">
        <w:t>32,7 jer smo prošle godine kupili mobitele za djelatnike škole što je bio veći izdatak</w:t>
      </w:r>
      <w:r w:rsidRPr="004D25C8">
        <w:t>, a realizacija je 720,94 EUR</w:t>
      </w:r>
      <w:r>
        <w:rPr>
          <w:color w:val="00B0F0"/>
        </w:rPr>
        <w:t>.</w:t>
      </w:r>
    </w:p>
    <w:p w14:paraId="29D644BC" w14:textId="6335ACDB" w:rsidR="004D25C8" w:rsidRDefault="004D25C8" w:rsidP="00A231E9">
      <w:pPr>
        <w:ind w:firstLine="708"/>
        <w:jc w:val="both"/>
      </w:pPr>
      <w:r w:rsidRPr="004D25C8">
        <w:t xml:space="preserve">Odjeljak </w:t>
      </w:r>
      <w:r w:rsidRPr="004D25C8">
        <w:rPr>
          <w:b/>
          <w:bCs/>
        </w:rPr>
        <w:t>3227</w:t>
      </w:r>
      <w:r w:rsidRPr="004D25C8">
        <w:t xml:space="preserve"> Službena, radna i zaštitna odjeća i obuća ima stanje 1.622,63 EUR u odnosu na isto razdoblje prošle godine kad je stanje bilo 0,00 EUR jer smo službenu odjeću i obuću za spremačice, kuhare i domare realizirali u prvom polugodištu ove godine. </w:t>
      </w:r>
    </w:p>
    <w:p w14:paraId="1D3533FD" w14:textId="77777777" w:rsidR="004D25C8" w:rsidRPr="004D25C8" w:rsidRDefault="004D25C8" w:rsidP="00A231E9">
      <w:pPr>
        <w:ind w:firstLine="708"/>
        <w:jc w:val="both"/>
      </w:pPr>
    </w:p>
    <w:p w14:paraId="2221C7CA" w14:textId="77777777" w:rsidR="004D25C8" w:rsidRPr="004D25C8" w:rsidRDefault="004D25C8" w:rsidP="00782265">
      <w:pPr>
        <w:ind w:firstLine="708"/>
        <w:jc w:val="both"/>
      </w:pPr>
      <w:r w:rsidRPr="004D25C8">
        <w:t>Odjeljak</w:t>
      </w:r>
      <w:r w:rsidR="00782265" w:rsidRPr="004D25C8">
        <w:t xml:space="preserve"> </w:t>
      </w:r>
      <w:r w:rsidR="00782265" w:rsidRPr="004D25C8">
        <w:rPr>
          <w:b/>
          <w:bCs/>
        </w:rPr>
        <w:t>3231</w:t>
      </w:r>
      <w:r w:rsidR="00782265" w:rsidRPr="004D25C8">
        <w:t xml:space="preserve"> Usluge telefona, pošte i prijevoza bilježi veliki indeks od 17</w:t>
      </w:r>
      <w:r w:rsidRPr="004D25C8">
        <w:t>4</w:t>
      </w:r>
      <w:r w:rsidR="00782265" w:rsidRPr="004D25C8">
        <w:t xml:space="preserve"> jer je znatno povećana cijena prijevoza učenika prema novom ugovoru sklopljenom s dobavljačem</w:t>
      </w:r>
      <w:r w:rsidRPr="004D25C8">
        <w:t xml:space="preserve"> i realizacija je 116.213,37 EUR.</w:t>
      </w:r>
    </w:p>
    <w:p w14:paraId="06F8D2E3" w14:textId="182EA10E" w:rsidR="004D25C8" w:rsidRPr="004D25C8" w:rsidRDefault="00782265" w:rsidP="00782265">
      <w:pPr>
        <w:ind w:firstLine="708"/>
        <w:jc w:val="both"/>
      </w:pPr>
      <w:r w:rsidRPr="004D25C8">
        <w:t xml:space="preserve"> Odjeljak </w:t>
      </w:r>
      <w:r w:rsidRPr="004D25C8">
        <w:rPr>
          <w:b/>
          <w:bCs/>
        </w:rPr>
        <w:t>3233</w:t>
      </w:r>
      <w:r w:rsidRPr="004D25C8">
        <w:t xml:space="preserve"> Usluge promidžbe i informiranja bilježi</w:t>
      </w:r>
      <w:r w:rsidR="004D25C8" w:rsidRPr="004D25C8">
        <w:t xml:space="preserve"> stanje od 248,85 EUR i</w:t>
      </w:r>
      <w:r w:rsidRPr="004D25C8">
        <w:t xml:space="preserve"> manji indeks od 43</w:t>
      </w:r>
      <w:r w:rsidR="004D25C8" w:rsidRPr="004D25C8">
        <w:t xml:space="preserve"> </w:t>
      </w:r>
      <w:r w:rsidRPr="004D25C8">
        <w:t xml:space="preserve">jer smo 2023. godine na taj odjeljak knjižili HRT pristojbu, a sad je knjižimo na odjeljak </w:t>
      </w:r>
      <w:r w:rsidRPr="004D25C8">
        <w:rPr>
          <w:b/>
          <w:bCs/>
        </w:rPr>
        <w:t>3295</w:t>
      </w:r>
      <w:r w:rsidRPr="004D25C8">
        <w:t xml:space="preserve"> Pristojbe i naknade pa stoga taj odjeljak ima povećanje indeksa na 158</w:t>
      </w:r>
      <w:r w:rsidR="004D25C8" w:rsidRPr="004D25C8">
        <w:t xml:space="preserve"> i realizaciju od 888,48 EUR..</w:t>
      </w:r>
    </w:p>
    <w:p w14:paraId="4C97E014" w14:textId="77C1CF9C" w:rsidR="004D25C8" w:rsidRDefault="00782265" w:rsidP="00782265">
      <w:pPr>
        <w:ind w:firstLine="708"/>
        <w:jc w:val="both"/>
      </w:pPr>
      <w:r w:rsidRPr="004D25C8">
        <w:t xml:space="preserve"> Odjeljak </w:t>
      </w:r>
      <w:r w:rsidRPr="004D25C8">
        <w:rPr>
          <w:b/>
          <w:bCs/>
        </w:rPr>
        <w:t>3234</w:t>
      </w:r>
      <w:r w:rsidRPr="004D25C8">
        <w:t xml:space="preserve"> Komunalne usluge bilježi rast indeksa </w:t>
      </w:r>
      <w:r w:rsidR="004D25C8" w:rsidRPr="004D25C8">
        <w:t xml:space="preserve">u odnosu na isto razdoblje prošle godine </w:t>
      </w:r>
      <w:r w:rsidRPr="004D25C8">
        <w:t>na 113</w:t>
      </w:r>
      <w:r w:rsidR="004D25C8" w:rsidRPr="004D25C8">
        <w:t xml:space="preserve"> </w:t>
      </w:r>
      <w:r w:rsidRPr="004D25C8">
        <w:t>zbog većih računa za vodu i veće količine odvoza otpada u odnosu na isto razdoblje prošle godine</w:t>
      </w:r>
      <w:r w:rsidR="00C63104">
        <w:t xml:space="preserve"> te iznosi 10.293,57 EUR.</w:t>
      </w:r>
    </w:p>
    <w:p w14:paraId="07889B77" w14:textId="7785F079" w:rsidR="004D25C8" w:rsidRPr="004D25C8" w:rsidRDefault="00782265" w:rsidP="00782265">
      <w:pPr>
        <w:ind w:firstLine="708"/>
        <w:jc w:val="both"/>
      </w:pPr>
      <w:r w:rsidRPr="004D25C8">
        <w:t xml:space="preserve">Odjeljak </w:t>
      </w:r>
      <w:r w:rsidRPr="004D25C8">
        <w:rPr>
          <w:b/>
          <w:bCs/>
        </w:rPr>
        <w:t>3235</w:t>
      </w:r>
      <w:r w:rsidRPr="004D25C8">
        <w:t xml:space="preserve"> Zakupnine i najamnine bilježi porast indeksa na 121</w:t>
      </w:r>
      <w:r w:rsidR="004D25C8" w:rsidRPr="004D25C8">
        <w:t xml:space="preserve"> </w:t>
      </w:r>
      <w:r w:rsidRPr="004D25C8">
        <w:t>zbog najma dvorane za međuopćinsko natjecanje u Lidranu te zbog kupovine licence za raspored sati za satničarku</w:t>
      </w:r>
      <w:r w:rsidR="008435F7">
        <w:t>, a</w:t>
      </w:r>
      <w:r w:rsidR="004D25C8" w:rsidRPr="004D25C8">
        <w:t xml:space="preserve"> realizacija</w:t>
      </w:r>
      <w:r w:rsidR="008435F7">
        <w:t xml:space="preserve"> je</w:t>
      </w:r>
      <w:r w:rsidR="004D25C8" w:rsidRPr="004D25C8">
        <w:t xml:space="preserve"> 6.019,26 EUR</w:t>
      </w:r>
      <w:r w:rsidRPr="004D25C8">
        <w:t>.</w:t>
      </w:r>
    </w:p>
    <w:p w14:paraId="199B7C7F" w14:textId="0FB0DE7F" w:rsidR="004D25C8" w:rsidRPr="004D25C8" w:rsidRDefault="004D25C8" w:rsidP="00782265">
      <w:pPr>
        <w:ind w:firstLine="708"/>
        <w:jc w:val="both"/>
      </w:pPr>
      <w:r w:rsidRPr="004D25C8">
        <w:t xml:space="preserve">Odjeljak </w:t>
      </w:r>
      <w:r w:rsidRPr="004D25C8">
        <w:rPr>
          <w:b/>
          <w:bCs/>
        </w:rPr>
        <w:t>3236</w:t>
      </w:r>
      <w:r w:rsidRPr="004D25C8">
        <w:t xml:space="preserve"> Zdravstvene i veterinarske usluge</w:t>
      </w:r>
      <w:r w:rsidR="00782265" w:rsidRPr="004D25C8">
        <w:t xml:space="preserve"> </w:t>
      </w:r>
      <w:r w:rsidRPr="004D25C8">
        <w:t>ima povećanje indeksa na 116 te realizaciju od 2.271,62 EUR jer je v</w:t>
      </w:r>
      <w:r w:rsidR="00782265" w:rsidRPr="004D25C8">
        <w:t>iše djelatnika išlo na sistematske preglede</w:t>
      </w:r>
      <w:r w:rsidR="008435F7">
        <w:t xml:space="preserve"> u odnosu na isto razdoblje prošle godine.</w:t>
      </w:r>
    </w:p>
    <w:p w14:paraId="12B374B1" w14:textId="33655361" w:rsidR="004D25C8" w:rsidRPr="004D25C8" w:rsidRDefault="00782265" w:rsidP="00782265">
      <w:pPr>
        <w:ind w:firstLine="708"/>
        <w:jc w:val="both"/>
      </w:pPr>
      <w:r w:rsidRPr="004D25C8">
        <w:t xml:space="preserve">Odjeljak </w:t>
      </w:r>
      <w:r w:rsidRPr="004D25C8">
        <w:rPr>
          <w:b/>
          <w:bCs/>
        </w:rPr>
        <w:t>3237</w:t>
      </w:r>
      <w:r w:rsidRPr="004D25C8">
        <w:t xml:space="preserve"> Intelektualne i osobne usluge bilježi rast indeksa na 173 zbog najma više predavača na ŽSV-ima i plaćanja povjerenstva za jedno natjecanje više u odnosu na 2023. godinu</w:t>
      </w:r>
      <w:r w:rsidR="004D25C8" w:rsidRPr="004D25C8">
        <w:t xml:space="preserve"> i ima realizaciju</w:t>
      </w:r>
      <w:r w:rsidR="008435F7">
        <w:t xml:space="preserve"> </w:t>
      </w:r>
      <w:r w:rsidR="004D25C8" w:rsidRPr="004D25C8">
        <w:t>od 678,02 EUR</w:t>
      </w:r>
      <w:r w:rsidRPr="004D25C8">
        <w:t>.</w:t>
      </w:r>
    </w:p>
    <w:p w14:paraId="2601AA83" w14:textId="7D5641E3" w:rsidR="00741750" w:rsidRDefault="00782265" w:rsidP="00410251">
      <w:pPr>
        <w:ind w:firstLine="708"/>
        <w:jc w:val="both"/>
      </w:pPr>
      <w:r w:rsidRPr="00113711">
        <w:t xml:space="preserve"> </w:t>
      </w:r>
      <w:r w:rsidR="004D25C8" w:rsidRPr="00113711">
        <w:t xml:space="preserve">Odjeljak </w:t>
      </w:r>
      <w:r w:rsidR="004D25C8" w:rsidRPr="00113711">
        <w:rPr>
          <w:b/>
          <w:bCs/>
        </w:rPr>
        <w:t>3238</w:t>
      </w:r>
      <w:r w:rsidR="004D25C8" w:rsidRPr="00113711">
        <w:t xml:space="preserve"> Računalne usluge </w:t>
      </w:r>
      <w:r w:rsidR="00113711" w:rsidRPr="00113711">
        <w:t>ima veći indeks od 164 te realizaciju od 2.766,86 EUR z</w:t>
      </w:r>
      <w:r w:rsidRPr="00113711">
        <w:t xml:space="preserve">bog plaćanje nove usluge </w:t>
      </w:r>
      <w:r w:rsidRPr="00113711">
        <w:rPr>
          <w:i/>
          <w:iCs/>
        </w:rPr>
        <w:t>Transparentnost</w:t>
      </w:r>
      <w:r w:rsidRPr="00113711">
        <w:t xml:space="preserve"> dobavljaču Infoprojekt, čiji sustav koristimo u radu</w:t>
      </w:r>
      <w:r w:rsidR="00113711" w:rsidRPr="00113711">
        <w:t>.</w:t>
      </w:r>
      <w:r w:rsidRPr="00113711">
        <w:t xml:space="preserve"> </w:t>
      </w:r>
    </w:p>
    <w:p w14:paraId="1FFD494A" w14:textId="458848AA" w:rsidR="00782265" w:rsidRPr="00113711" w:rsidRDefault="00782265" w:rsidP="00782265">
      <w:pPr>
        <w:ind w:firstLine="708"/>
        <w:jc w:val="both"/>
      </w:pPr>
      <w:r w:rsidRPr="00113711">
        <w:t xml:space="preserve">Odjeljak </w:t>
      </w:r>
      <w:r w:rsidRPr="00113711">
        <w:rPr>
          <w:b/>
          <w:bCs/>
        </w:rPr>
        <w:t>3239</w:t>
      </w:r>
      <w:r w:rsidRPr="00113711">
        <w:t xml:space="preserve"> Ostale usluge biljež</w:t>
      </w:r>
      <w:r w:rsidR="008435F7">
        <w:t>i</w:t>
      </w:r>
      <w:r w:rsidRPr="00113711">
        <w:t xml:space="preserve"> pad indeksa na 18 jer smo prošle godine u istom razdoblju plaćali Zagrebinspektu trošak izrade procjene rizika te plana i programa osposobljavanja za zaposlenike u iznosu od 564,08 EUR. </w:t>
      </w:r>
    </w:p>
    <w:p w14:paraId="52F15919" w14:textId="3706A536" w:rsidR="00782265" w:rsidRPr="00113711" w:rsidRDefault="008435F7" w:rsidP="00782265">
      <w:pPr>
        <w:ind w:firstLine="708"/>
        <w:jc w:val="both"/>
      </w:pPr>
      <w:r>
        <w:t>Odjeljak</w:t>
      </w:r>
      <w:r w:rsidR="00782265" w:rsidRPr="00113711">
        <w:t xml:space="preserve"> </w:t>
      </w:r>
      <w:r w:rsidR="00782265" w:rsidRPr="00113711">
        <w:rPr>
          <w:b/>
          <w:bCs/>
        </w:rPr>
        <w:t>324</w:t>
      </w:r>
      <w:r w:rsidR="00113711" w:rsidRPr="00113711">
        <w:rPr>
          <w:b/>
          <w:bCs/>
        </w:rPr>
        <w:t>1</w:t>
      </w:r>
      <w:r w:rsidR="00782265" w:rsidRPr="00113711">
        <w:t xml:space="preserve"> Naknade troškova osobama izvan radnog odnosa biljež</w:t>
      </w:r>
      <w:r>
        <w:t>i</w:t>
      </w:r>
      <w:r w:rsidR="00782265" w:rsidRPr="00113711">
        <w:t xml:space="preserve"> stanje od 70,00 EUR u odnosu na isto razdoblje 2023. godine jer smo unajmili predavača u školskoj knjižnici prema ugovoru o poslovnoj suradnji i platili predavačici trošak prijevoza iz Rijeke. </w:t>
      </w:r>
    </w:p>
    <w:p w14:paraId="35A865C2" w14:textId="77777777" w:rsidR="00113711" w:rsidRPr="00113711" w:rsidRDefault="00782265" w:rsidP="00782265">
      <w:pPr>
        <w:ind w:firstLine="708"/>
        <w:jc w:val="both"/>
      </w:pPr>
      <w:r w:rsidRPr="00113711">
        <w:t xml:space="preserve">Odjeljak </w:t>
      </w:r>
      <w:r w:rsidRPr="00113711">
        <w:rPr>
          <w:b/>
          <w:bCs/>
        </w:rPr>
        <w:t>3294</w:t>
      </w:r>
      <w:r w:rsidRPr="00113711">
        <w:t xml:space="preserve"> Članarine i norme bilježi indeks od 1</w:t>
      </w:r>
      <w:r w:rsidR="00113711" w:rsidRPr="00113711">
        <w:t>10</w:t>
      </w:r>
      <w:r w:rsidRPr="00113711">
        <w:t xml:space="preserve"> jer smo ove godine platili duplo veću članarinu Hrvatskom savezu učeničkih zadruga</w:t>
      </w:r>
      <w:r w:rsidR="00113711" w:rsidRPr="00113711">
        <w:t xml:space="preserve"> te je realizacija 133,09 EUR</w:t>
      </w:r>
      <w:r w:rsidRPr="00113711">
        <w:t>.</w:t>
      </w:r>
    </w:p>
    <w:p w14:paraId="6AA48F58" w14:textId="6354720C" w:rsidR="00113711" w:rsidRPr="0013277D" w:rsidRDefault="00113711" w:rsidP="00782265">
      <w:pPr>
        <w:ind w:firstLine="708"/>
        <w:jc w:val="both"/>
      </w:pPr>
      <w:r w:rsidRPr="00113711">
        <w:t xml:space="preserve">Odjeljak </w:t>
      </w:r>
      <w:r w:rsidRPr="00113711">
        <w:rPr>
          <w:b/>
          <w:bCs/>
        </w:rPr>
        <w:t>3296</w:t>
      </w:r>
      <w:r w:rsidRPr="00113711">
        <w:t xml:space="preserve"> Troškovi sudskih postupaka bilježi stanje od 453,13 EUR u odnosu na isto razdoblje prošle godine kad je stanje bilo 0,00 EUR. Na odjeljak su knjiženi troškovi </w:t>
      </w:r>
      <w:r w:rsidRPr="0013277D">
        <w:t>parničkog postupka po sudskoj tužbi djelatnice DF.</w:t>
      </w:r>
    </w:p>
    <w:p w14:paraId="0FF3FD49" w14:textId="1C9A943A" w:rsidR="00782265" w:rsidRPr="0013277D" w:rsidRDefault="00782265" w:rsidP="00782265">
      <w:pPr>
        <w:ind w:firstLine="708"/>
        <w:jc w:val="both"/>
      </w:pPr>
      <w:r w:rsidRPr="0013277D">
        <w:t xml:space="preserve">Odjeljak </w:t>
      </w:r>
      <w:r w:rsidRPr="0013277D">
        <w:rPr>
          <w:b/>
          <w:bCs/>
        </w:rPr>
        <w:t>3299</w:t>
      </w:r>
      <w:r w:rsidRPr="0013277D">
        <w:t xml:space="preserve"> Ostali nespomenuti rashodi poslovanja bilježi rast indeksa na 18</w:t>
      </w:r>
      <w:r w:rsidR="0013277D" w:rsidRPr="0013277D">
        <w:t>1</w:t>
      </w:r>
      <w:r w:rsidRPr="0013277D">
        <w:t xml:space="preserve"> zbog organizacije međuopćinskog natjecanja u futsalu što nije bio slučaj u 2023. godini te zbog plaćanja više kotizacija za učenike na natjecanjima iz matematike. </w:t>
      </w:r>
    </w:p>
    <w:p w14:paraId="1E488DE6" w14:textId="0E38EE02" w:rsidR="00782265" w:rsidRPr="0013277D" w:rsidRDefault="0013277D" w:rsidP="00782265">
      <w:pPr>
        <w:ind w:firstLine="708"/>
        <w:jc w:val="both"/>
      </w:pPr>
      <w:r>
        <w:t>O</w:t>
      </w:r>
      <w:r w:rsidR="00782265" w:rsidRPr="0013277D">
        <w:t>djelj</w:t>
      </w:r>
      <w:r>
        <w:t>ak</w:t>
      </w:r>
      <w:r w:rsidR="00782265" w:rsidRPr="0013277D">
        <w:t xml:space="preserve"> </w:t>
      </w:r>
      <w:r w:rsidR="00782265" w:rsidRPr="0013277D">
        <w:rPr>
          <w:b/>
          <w:bCs/>
        </w:rPr>
        <w:t>3433</w:t>
      </w:r>
      <w:r w:rsidR="00782265" w:rsidRPr="0013277D">
        <w:t xml:space="preserve"> </w:t>
      </w:r>
      <w:r w:rsidRPr="0013277D">
        <w:t xml:space="preserve">Zatezne kamate </w:t>
      </w:r>
      <w:r>
        <w:t>ima</w:t>
      </w:r>
      <w:r w:rsidR="00782265" w:rsidRPr="0013277D">
        <w:t xml:space="preserve"> stanje 357,36 EUR u odnosu na 2023. godinu kad nije bilo stanja jer smo isplaćivali posljednju sudsku tužbu </w:t>
      </w:r>
      <w:r w:rsidR="008435F7">
        <w:t>djelatnici</w:t>
      </w:r>
      <w:r w:rsidR="00782265" w:rsidRPr="0013277D">
        <w:t xml:space="preserve"> DF.</w:t>
      </w:r>
    </w:p>
    <w:p w14:paraId="607862C1" w14:textId="3E40E2B3" w:rsidR="00782265" w:rsidRPr="006905DF" w:rsidRDefault="00782265" w:rsidP="00782265">
      <w:pPr>
        <w:ind w:firstLine="708"/>
        <w:jc w:val="both"/>
      </w:pPr>
      <w:r w:rsidRPr="0013277D">
        <w:t xml:space="preserve">Odjeljak </w:t>
      </w:r>
      <w:r w:rsidRPr="0013277D">
        <w:rPr>
          <w:b/>
          <w:bCs/>
        </w:rPr>
        <w:t>3722</w:t>
      </w:r>
      <w:r w:rsidRPr="0013277D">
        <w:t xml:space="preserve"> Naknade građanima i kućanstvima u naravi ima stanje u odnosu na 2023. godinu u iznosu od 219,67 EUR jer smo ove godine kupovali</w:t>
      </w:r>
      <w:r w:rsidR="0013277D" w:rsidRPr="0013277D">
        <w:t xml:space="preserve"> </w:t>
      </w:r>
      <w:r w:rsidRPr="0013277D">
        <w:t xml:space="preserve">dodatne radne udžbenike za </w:t>
      </w:r>
      <w:r w:rsidRPr="006905DF">
        <w:t xml:space="preserve">učenike škole. </w:t>
      </w:r>
    </w:p>
    <w:p w14:paraId="05717AC8" w14:textId="2644C8F3" w:rsidR="00782265" w:rsidRDefault="006905DF" w:rsidP="00782265">
      <w:pPr>
        <w:ind w:firstLine="708"/>
        <w:jc w:val="both"/>
      </w:pPr>
      <w:r w:rsidRPr="006905DF">
        <w:t>O</w:t>
      </w:r>
      <w:r w:rsidR="00782265" w:rsidRPr="006905DF">
        <w:t>djelj</w:t>
      </w:r>
      <w:r w:rsidRPr="006905DF">
        <w:t>ak</w:t>
      </w:r>
      <w:r w:rsidR="00782265" w:rsidRPr="006905DF">
        <w:t xml:space="preserve"> </w:t>
      </w:r>
      <w:r w:rsidR="00782265" w:rsidRPr="006905DF">
        <w:rPr>
          <w:b/>
          <w:bCs/>
        </w:rPr>
        <w:t>3812</w:t>
      </w:r>
      <w:r w:rsidR="00782265" w:rsidRPr="006905DF">
        <w:t xml:space="preserve"> Tekuće donacije u naravi </w:t>
      </w:r>
      <w:r w:rsidRPr="006905DF">
        <w:t>bilježi</w:t>
      </w:r>
      <w:r w:rsidR="00782265" w:rsidRPr="006905DF">
        <w:t xml:space="preserve"> ove godine stanje 0,00 EUR, za razliku od istog razdoblja prošle godine kad je stanje bilo 1.803,90 EUR jer smo kupili higijenske uloške od sredstava koje smo dobili od Ministarstva rada, mirovinskog sustava, obitelji i socijalne politike. Od sredstava koje smo dobili ove godine, nabavu higijenskih uložaka ćemo realizirati u </w:t>
      </w:r>
      <w:r>
        <w:t>rujnu</w:t>
      </w:r>
      <w:r w:rsidR="00782265" w:rsidRPr="006905DF">
        <w:t xml:space="preserve"> 2024. godine.</w:t>
      </w:r>
    </w:p>
    <w:p w14:paraId="37DDDD95" w14:textId="1616B090" w:rsidR="003114A1" w:rsidRDefault="003114A1" w:rsidP="00782265">
      <w:pPr>
        <w:ind w:firstLine="708"/>
        <w:jc w:val="both"/>
      </w:pPr>
      <w:r w:rsidRPr="003114A1">
        <w:t xml:space="preserve">Odjeljak </w:t>
      </w:r>
      <w:r w:rsidRPr="0061021D">
        <w:rPr>
          <w:b/>
          <w:bCs/>
        </w:rPr>
        <w:t>4221</w:t>
      </w:r>
      <w:r w:rsidRPr="003114A1">
        <w:t xml:space="preserve"> uredska oprema i namještaj bilježi stanje u odnosu na 2023. godinu u iznosu od 9.168,75 EUR jer je realizirana nabava namještaja (kompletni namještaj za ured računovodstvene referentice, ormar</w:t>
      </w:r>
      <w:r w:rsidR="008435F7">
        <w:t>i</w:t>
      </w:r>
      <w:r w:rsidRPr="003114A1">
        <w:t xml:space="preserve"> za ured tajnice, učionice informatike RN i PN, kompletni namještaj za učionicu vjeronauka)</w:t>
      </w:r>
      <w:r w:rsidR="008435F7">
        <w:t xml:space="preserve">. </w:t>
      </w:r>
      <w:r>
        <w:t xml:space="preserve">Prošle godine u istom razdoblju još nisu </w:t>
      </w:r>
      <w:r w:rsidR="00741750">
        <w:t xml:space="preserve">bili </w:t>
      </w:r>
      <w:r>
        <w:t>realizirani sklopljeni ugovori</w:t>
      </w:r>
      <w:r w:rsidR="00741750">
        <w:t xml:space="preserve"> za namještaj i računalnu opremu</w:t>
      </w:r>
      <w:r>
        <w:t xml:space="preserve"> pa je stanje 0,00 EUR.</w:t>
      </w:r>
    </w:p>
    <w:p w14:paraId="238001B3" w14:textId="699B48F0" w:rsidR="003114A1" w:rsidRDefault="003114A1" w:rsidP="00782265">
      <w:pPr>
        <w:ind w:firstLine="708"/>
        <w:jc w:val="both"/>
      </w:pPr>
      <w:r>
        <w:t xml:space="preserve">Odjeljak </w:t>
      </w:r>
      <w:r w:rsidRPr="0061021D">
        <w:rPr>
          <w:b/>
          <w:bCs/>
        </w:rPr>
        <w:t>4226</w:t>
      </w:r>
      <w:r>
        <w:t xml:space="preserve"> Sportska i glazbena oprema</w:t>
      </w:r>
      <w:r w:rsidR="0061021D">
        <w:t xml:space="preserve"> bilježi stanje 0,00 EUR u odnosu na isto razdoblje prošle godine kad smo nabavili glazbene instrumente za školski band u iznosu od 1.983,81 EUR.</w:t>
      </w:r>
    </w:p>
    <w:p w14:paraId="054A1308" w14:textId="24589717" w:rsidR="00741750" w:rsidRDefault="00741750" w:rsidP="00782265">
      <w:pPr>
        <w:ind w:firstLine="708"/>
        <w:jc w:val="both"/>
      </w:pPr>
      <w:r>
        <w:t xml:space="preserve">Odjeljak </w:t>
      </w:r>
      <w:r w:rsidRPr="00741750">
        <w:rPr>
          <w:b/>
          <w:bCs/>
        </w:rPr>
        <w:t>4227</w:t>
      </w:r>
      <w:r>
        <w:t xml:space="preserve"> Uređaji, strojevi i oprema za ostale namjene bilježi stanje 0,00 EUR, a prošle godine je u istom vremenskom razdoblju bilo stanje 5.115,75 EUR jer je nabavljen stroj za pranje posuđa u školskoj kuhinji.</w:t>
      </w:r>
    </w:p>
    <w:p w14:paraId="75A91A14" w14:textId="0939FCEC" w:rsidR="00741750" w:rsidRPr="003114A1" w:rsidRDefault="00741750" w:rsidP="00782265">
      <w:pPr>
        <w:ind w:firstLine="708"/>
        <w:jc w:val="both"/>
      </w:pPr>
      <w:r>
        <w:t xml:space="preserve">Odjeljak </w:t>
      </w:r>
      <w:r w:rsidRPr="00741750">
        <w:rPr>
          <w:b/>
          <w:bCs/>
        </w:rPr>
        <w:t>4241</w:t>
      </w:r>
      <w:r>
        <w:t xml:space="preserve"> Knjige bilježi stanje od 467,21 EUR s indeksom 152 u odnosu na isto razdoblje prošle godine jer smo ove godine osim knjiga za školsku knjižnicu imali i dodatne narudžbe udžbenika za učenike škole.</w:t>
      </w:r>
    </w:p>
    <w:p w14:paraId="7F1FA296" w14:textId="15BD9E86" w:rsidR="005A5479" w:rsidRPr="00741750" w:rsidRDefault="00741750" w:rsidP="005A5479">
      <w:pPr>
        <w:ind w:firstLine="708"/>
        <w:jc w:val="both"/>
      </w:pPr>
      <w:r w:rsidRPr="008435F7">
        <w:t>Odjeljak</w:t>
      </w:r>
      <w:r w:rsidRPr="00741750">
        <w:rPr>
          <w:b/>
          <w:bCs/>
        </w:rPr>
        <w:t xml:space="preserve"> </w:t>
      </w:r>
      <w:r w:rsidR="005A5479" w:rsidRPr="00741750">
        <w:rPr>
          <w:b/>
          <w:bCs/>
        </w:rPr>
        <w:t>451</w:t>
      </w:r>
      <w:r w:rsidRPr="00741750">
        <w:rPr>
          <w:b/>
          <w:bCs/>
        </w:rPr>
        <w:t>1</w:t>
      </w:r>
      <w:r w:rsidR="005A5479" w:rsidRPr="00741750">
        <w:rPr>
          <w:b/>
          <w:bCs/>
        </w:rPr>
        <w:t xml:space="preserve"> </w:t>
      </w:r>
      <w:r w:rsidR="005A5479" w:rsidRPr="008435F7">
        <w:t>Dodatna ulaganja na građevinskim objektima</w:t>
      </w:r>
      <w:r w:rsidRPr="00741750">
        <w:rPr>
          <w:b/>
          <w:bCs/>
        </w:rPr>
        <w:t xml:space="preserve"> </w:t>
      </w:r>
      <w:r w:rsidRPr="00741750">
        <w:t>ima realizaciju</w:t>
      </w:r>
      <w:r w:rsidRPr="00741750">
        <w:rPr>
          <w:b/>
          <w:bCs/>
        </w:rPr>
        <w:t xml:space="preserve"> </w:t>
      </w:r>
      <w:r w:rsidR="005A5479" w:rsidRPr="00741750">
        <w:t xml:space="preserve"> </w:t>
      </w:r>
      <w:r w:rsidRPr="00741750">
        <w:t>od 1.981,53 EUR</w:t>
      </w:r>
      <w:r w:rsidR="005A5479" w:rsidRPr="00741750">
        <w:t>, a odnos</w:t>
      </w:r>
      <w:r w:rsidRPr="00741750">
        <w:t>i</w:t>
      </w:r>
      <w:r w:rsidR="005A5479" w:rsidRPr="00741750">
        <w:t xml:space="preserve"> se na priključak građevine na elektroenergetsku distribucijsku mrežu, a u svrhu postavljanja solarnih kolektora na dvorani škole</w:t>
      </w:r>
      <w:r w:rsidRPr="00741750">
        <w:t>. Prošle godine nismo imali nikakva dodatna ulaganja na tom odjeljku.</w:t>
      </w:r>
    </w:p>
    <w:p w14:paraId="77A00E06" w14:textId="5500E1DC" w:rsidR="004119E8" w:rsidRPr="007143FD" w:rsidRDefault="004119E8" w:rsidP="004B6DCF">
      <w:pPr>
        <w:jc w:val="both"/>
        <w:rPr>
          <w:bCs/>
          <w:color w:val="FF0000"/>
        </w:rPr>
      </w:pPr>
    </w:p>
    <w:p w14:paraId="1DE5925C" w14:textId="2102D831" w:rsidR="00942B03" w:rsidRPr="00741750" w:rsidRDefault="00942B03" w:rsidP="00842CA5">
      <w:pPr>
        <w:jc w:val="center"/>
        <w:rPr>
          <w:b/>
        </w:rPr>
      </w:pPr>
      <w:r w:rsidRPr="00741750">
        <w:rPr>
          <w:b/>
        </w:rPr>
        <w:t>REZULTAT POSLOVANJA</w:t>
      </w:r>
    </w:p>
    <w:p w14:paraId="052CA0CD" w14:textId="1C219983" w:rsidR="00942B03" w:rsidRPr="007143FD" w:rsidRDefault="00942B03" w:rsidP="004B6DCF">
      <w:pPr>
        <w:jc w:val="both"/>
        <w:rPr>
          <w:b/>
          <w:color w:val="FF0000"/>
        </w:rPr>
      </w:pPr>
    </w:p>
    <w:p w14:paraId="56409EE4" w14:textId="603EF6E6" w:rsidR="00D834E3" w:rsidRPr="00D834E3" w:rsidRDefault="00942B03" w:rsidP="003B2212">
      <w:pPr>
        <w:ind w:firstLine="708"/>
        <w:jc w:val="both"/>
        <w:rPr>
          <w:bCs/>
        </w:rPr>
      </w:pPr>
      <w:r w:rsidRPr="00D834E3">
        <w:rPr>
          <w:bCs/>
        </w:rPr>
        <w:t>Ukupno ostvareni prihodi i primici u prvom polugodištu 202</w:t>
      </w:r>
      <w:r w:rsidR="00D834E3" w:rsidRPr="00D834E3">
        <w:rPr>
          <w:bCs/>
        </w:rPr>
        <w:t>4</w:t>
      </w:r>
      <w:r w:rsidRPr="00D834E3">
        <w:rPr>
          <w:bCs/>
        </w:rPr>
        <w:t xml:space="preserve">. godine iznose </w:t>
      </w:r>
      <w:r w:rsidR="00D834E3" w:rsidRPr="00D834E3">
        <w:rPr>
          <w:bCs/>
        </w:rPr>
        <w:t>1.580.267,16</w:t>
      </w:r>
      <w:r w:rsidR="00946D23" w:rsidRPr="00D834E3">
        <w:rPr>
          <w:bCs/>
        </w:rPr>
        <w:t xml:space="preserve"> EUR, </w:t>
      </w:r>
      <w:r w:rsidRPr="00D834E3">
        <w:rPr>
          <w:bCs/>
        </w:rPr>
        <w:t xml:space="preserve">dok su u istom </w:t>
      </w:r>
      <w:r w:rsidR="006B5960">
        <w:rPr>
          <w:bCs/>
        </w:rPr>
        <w:t>razdoblju</w:t>
      </w:r>
      <w:r w:rsidRPr="00D834E3">
        <w:rPr>
          <w:bCs/>
        </w:rPr>
        <w:t xml:space="preserve"> prošle godine iznosili </w:t>
      </w:r>
      <w:r w:rsidR="00D834E3" w:rsidRPr="00D834E3">
        <w:rPr>
          <w:bCs/>
        </w:rPr>
        <w:t xml:space="preserve">1.230.050,50 </w:t>
      </w:r>
      <w:r w:rsidR="00946D23" w:rsidRPr="00D834E3">
        <w:rPr>
          <w:bCs/>
        </w:rPr>
        <w:t xml:space="preserve">EUR </w:t>
      </w:r>
      <w:r w:rsidRPr="00D834E3">
        <w:rPr>
          <w:bCs/>
        </w:rPr>
        <w:t xml:space="preserve">što je </w:t>
      </w:r>
      <w:r w:rsidR="009C1B10" w:rsidRPr="00D834E3">
        <w:rPr>
          <w:bCs/>
        </w:rPr>
        <w:t xml:space="preserve">više </w:t>
      </w:r>
      <w:r w:rsidR="006E3415" w:rsidRPr="00D834E3">
        <w:rPr>
          <w:bCs/>
        </w:rPr>
        <w:t xml:space="preserve">ove godine </w:t>
      </w:r>
      <w:r w:rsidRPr="00D834E3">
        <w:rPr>
          <w:bCs/>
        </w:rPr>
        <w:t xml:space="preserve">za </w:t>
      </w:r>
      <w:r w:rsidR="00D834E3" w:rsidRPr="00D834E3">
        <w:rPr>
          <w:bCs/>
        </w:rPr>
        <w:t>350.216,66</w:t>
      </w:r>
      <w:r w:rsidRPr="00D834E3">
        <w:rPr>
          <w:bCs/>
        </w:rPr>
        <w:t xml:space="preserve"> </w:t>
      </w:r>
      <w:r w:rsidR="00946D23" w:rsidRPr="00D834E3">
        <w:rPr>
          <w:bCs/>
        </w:rPr>
        <w:t>EUR</w:t>
      </w:r>
      <w:r w:rsidR="009C1B10" w:rsidRPr="00D834E3">
        <w:rPr>
          <w:bCs/>
        </w:rPr>
        <w:t xml:space="preserve">. </w:t>
      </w:r>
    </w:p>
    <w:p w14:paraId="27AC8FF9" w14:textId="6F13CC43" w:rsidR="00D834E3" w:rsidRPr="00D834E3" w:rsidRDefault="00946D23" w:rsidP="003B2212">
      <w:pPr>
        <w:ind w:firstLine="708"/>
        <w:jc w:val="both"/>
        <w:rPr>
          <w:bCs/>
        </w:rPr>
      </w:pPr>
      <w:r w:rsidRPr="00D834E3">
        <w:rPr>
          <w:bCs/>
        </w:rPr>
        <w:t>Ukupno ostvareni rashodi u prvom polugodištu 202</w:t>
      </w:r>
      <w:r w:rsidR="00D834E3" w:rsidRPr="00D834E3">
        <w:rPr>
          <w:bCs/>
        </w:rPr>
        <w:t>4</w:t>
      </w:r>
      <w:r w:rsidRPr="00D834E3">
        <w:rPr>
          <w:bCs/>
        </w:rPr>
        <w:t xml:space="preserve">. godine je </w:t>
      </w:r>
      <w:r w:rsidR="00D834E3" w:rsidRPr="00D834E3">
        <w:rPr>
          <w:bCs/>
        </w:rPr>
        <w:t>1.581.250,01</w:t>
      </w:r>
      <w:r w:rsidRPr="00D834E3">
        <w:rPr>
          <w:bCs/>
        </w:rPr>
        <w:t xml:space="preserve"> EUR</w:t>
      </w:r>
      <w:r w:rsidR="00373EA7" w:rsidRPr="00D834E3">
        <w:rPr>
          <w:bCs/>
        </w:rPr>
        <w:t xml:space="preserve">, dok su u istom periodu prošle godine iznosili </w:t>
      </w:r>
      <w:r w:rsidR="00D834E3" w:rsidRPr="00D834E3">
        <w:rPr>
          <w:bCs/>
        </w:rPr>
        <w:t xml:space="preserve">1.229.349,05 </w:t>
      </w:r>
      <w:r w:rsidR="00373EA7" w:rsidRPr="00D834E3">
        <w:rPr>
          <w:bCs/>
        </w:rPr>
        <w:t>EUR</w:t>
      </w:r>
      <w:r w:rsidR="006E3415" w:rsidRPr="00D834E3">
        <w:rPr>
          <w:bCs/>
        </w:rPr>
        <w:t xml:space="preserve"> što je više ove godine za </w:t>
      </w:r>
      <w:r w:rsidR="00D834E3" w:rsidRPr="00D834E3">
        <w:rPr>
          <w:bCs/>
        </w:rPr>
        <w:t xml:space="preserve">351.900,96 </w:t>
      </w:r>
      <w:r w:rsidR="006E3415" w:rsidRPr="00D834E3">
        <w:rPr>
          <w:bCs/>
        </w:rPr>
        <w:t xml:space="preserve">EUR. </w:t>
      </w:r>
      <w:r w:rsidR="00373EA7" w:rsidRPr="00D834E3">
        <w:rPr>
          <w:bCs/>
        </w:rPr>
        <w:t xml:space="preserve"> </w:t>
      </w:r>
    </w:p>
    <w:p w14:paraId="614906AF" w14:textId="1AE742E1" w:rsidR="00D834E3" w:rsidRPr="00D834E3" w:rsidRDefault="00D834E3" w:rsidP="00D834E3">
      <w:pPr>
        <w:ind w:firstLine="708"/>
        <w:jc w:val="both"/>
      </w:pPr>
      <w:r w:rsidRPr="00D834E3">
        <w:t>Manjak prihoda poslovanja - preneseni se mijenjao po Odluci o raspodjeli rezultata od 06.03.2024. godine i i 08.05.2024. godine te iznosi -45.290,60 EUR. Višak prihoda od nefinancijske imovine - preneseni se mijenjao po Odluci o raspodjeli rezultata od 06.03.2024. godine i i 08.05.2024. te iznosi 279,16 EUR.</w:t>
      </w:r>
      <w:r w:rsidR="006B5960">
        <w:t xml:space="preserve"> Znači da je ukupni preneseni rezultat poslovanja iz 2023. godine -45.011,44 EUR.</w:t>
      </w:r>
    </w:p>
    <w:p w14:paraId="3BF5D715" w14:textId="77777777" w:rsidR="00D834E3" w:rsidRDefault="00D834E3" w:rsidP="00D834E3">
      <w:pPr>
        <w:jc w:val="both"/>
        <w:rPr>
          <w:bCs/>
          <w:color w:val="FF0000"/>
        </w:rPr>
      </w:pPr>
    </w:p>
    <w:p w14:paraId="500B038A" w14:textId="1475FDD9" w:rsidR="00942B03" w:rsidRPr="00D834E3" w:rsidRDefault="009C1B10" w:rsidP="004B6DCF">
      <w:pPr>
        <w:jc w:val="both"/>
        <w:rPr>
          <w:bCs/>
        </w:rPr>
      </w:pPr>
      <w:r w:rsidRPr="00D834E3">
        <w:rPr>
          <w:bCs/>
        </w:rPr>
        <w:t>Tabelarni prikaz utvrđenog rezultata prikazan je u nastavku:</w:t>
      </w:r>
      <w:r w:rsidR="00942B03" w:rsidRPr="00D834E3">
        <w:rPr>
          <w:bCs/>
        </w:rPr>
        <w:t xml:space="preserve"> </w:t>
      </w:r>
    </w:p>
    <w:p w14:paraId="10532DB0" w14:textId="620C6A9D" w:rsidR="009C1B10" w:rsidRPr="00D834E3" w:rsidRDefault="009C1B10" w:rsidP="004B6DCF">
      <w:pPr>
        <w:jc w:val="both"/>
        <w:rPr>
          <w:bCs/>
        </w:rPr>
      </w:pPr>
    </w:p>
    <w:tbl>
      <w:tblPr>
        <w:tblStyle w:val="Reetkatablice"/>
        <w:tblW w:w="9067" w:type="dxa"/>
        <w:tblLook w:val="04A0" w:firstRow="1" w:lastRow="0" w:firstColumn="1" w:lastColumn="0" w:noHBand="0" w:noVBand="1"/>
      </w:tblPr>
      <w:tblGrid>
        <w:gridCol w:w="2099"/>
        <w:gridCol w:w="1582"/>
        <w:gridCol w:w="1701"/>
        <w:gridCol w:w="1579"/>
        <w:gridCol w:w="2106"/>
      </w:tblGrid>
      <w:tr w:rsidR="00D834E3" w:rsidRPr="00D834E3" w14:paraId="3E7C334E" w14:textId="77777777" w:rsidTr="009C1B10">
        <w:tc>
          <w:tcPr>
            <w:tcW w:w="2099" w:type="dxa"/>
            <w:shd w:val="clear" w:color="auto" w:fill="B8CCE4" w:themeFill="accent1" w:themeFillTint="66"/>
          </w:tcPr>
          <w:p w14:paraId="4B305A00" w14:textId="6241DF05" w:rsidR="009C1B10" w:rsidRPr="00D834E3" w:rsidRDefault="009C1B10" w:rsidP="009C1B10">
            <w:pPr>
              <w:jc w:val="center"/>
              <w:rPr>
                <w:b/>
              </w:rPr>
            </w:pPr>
            <w:r w:rsidRPr="00D834E3">
              <w:rPr>
                <w:b/>
              </w:rPr>
              <w:t>Preneseni rezultat iz 202</w:t>
            </w:r>
            <w:r w:rsidR="00D834E3" w:rsidRPr="00D834E3">
              <w:rPr>
                <w:b/>
              </w:rPr>
              <w:t>3</w:t>
            </w:r>
            <w:r w:rsidRPr="00D834E3">
              <w:rPr>
                <w:b/>
              </w:rPr>
              <w:t>. godine</w:t>
            </w:r>
          </w:p>
        </w:tc>
        <w:tc>
          <w:tcPr>
            <w:tcW w:w="1582" w:type="dxa"/>
            <w:shd w:val="clear" w:color="auto" w:fill="B8CCE4" w:themeFill="accent1" w:themeFillTint="66"/>
          </w:tcPr>
          <w:p w14:paraId="18F98F83" w14:textId="1D07E09E" w:rsidR="009C1B10" w:rsidRPr="00D834E3" w:rsidRDefault="009C1B10" w:rsidP="009C1B10">
            <w:pPr>
              <w:jc w:val="center"/>
              <w:rPr>
                <w:b/>
              </w:rPr>
            </w:pPr>
            <w:r w:rsidRPr="00D834E3">
              <w:rPr>
                <w:b/>
              </w:rPr>
              <w:t>Prihodi 6/202</w:t>
            </w:r>
            <w:r w:rsidR="00D834E3" w:rsidRPr="00D834E3">
              <w:rPr>
                <w:b/>
              </w:rPr>
              <w:t>4</w:t>
            </w:r>
          </w:p>
        </w:tc>
        <w:tc>
          <w:tcPr>
            <w:tcW w:w="1701" w:type="dxa"/>
            <w:shd w:val="clear" w:color="auto" w:fill="B8CCE4" w:themeFill="accent1" w:themeFillTint="66"/>
          </w:tcPr>
          <w:p w14:paraId="39036271" w14:textId="1CB4FAB3" w:rsidR="009C1B10" w:rsidRPr="00D834E3" w:rsidRDefault="009C1B10" w:rsidP="009C1B10">
            <w:pPr>
              <w:jc w:val="center"/>
              <w:rPr>
                <w:b/>
              </w:rPr>
            </w:pPr>
            <w:r w:rsidRPr="00D834E3">
              <w:rPr>
                <w:b/>
              </w:rPr>
              <w:t>Rashodi 6/202</w:t>
            </w:r>
            <w:r w:rsidR="00D834E3" w:rsidRPr="00D834E3">
              <w:rPr>
                <w:b/>
              </w:rPr>
              <w:t>4</w:t>
            </w:r>
          </w:p>
        </w:tc>
        <w:tc>
          <w:tcPr>
            <w:tcW w:w="1579" w:type="dxa"/>
            <w:shd w:val="clear" w:color="auto" w:fill="B8CCE4" w:themeFill="accent1" w:themeFillTint="66"/>
          </w:tcPr>
          <w:p w14:paraId="51E45853" w14:textId="05C1BF3E" w:rsidR="009C1B10" w:rsidRPr="00D834E3" w:rsidRDefault="009C1B10" w:rsidP="009C1B10">
            <w:pPr>
              <w:jc w:val="center"/>
              <w:rPr>
                <w:b/>
              </w:rPr>
            </w:pPr>
            <w:r w:rsidRPr="00D834E3">
              <w:rPr>
                <w:b/>
              </w:rPr>
              <w:t>Rezultat 6/202</w:t>
            </w:r>
            <w:r w:rsidR="00D834E3" w:rsidRPr="00D834E3">
              <w:rPr>
                <w:b/>
              </w:rPr>
              <w:t>4</w:t>
            </w:r>
          </w:p>
        </w:tc>
        <w:tc>
          <w:tcPr>
            <w:tcW w:w="2106" w:type="dxa"/>
            <w:shd w:val="clear" w:color="auto" w:fill="B8CCE4" w:themeFill="accent1" w:themeFillTint="66"/>
          </w:tcPr>
          <w:p w14:paraId="401D48BC" w14:textId="45D48F30" w:rsidR="009C1B10" w:rsidRPr="00D834E3" w:rsidRDefault="009C1B10" w:rsidP="009C1B10">
            <w:pPr>
              <w:jc w:val="center"/>
              <w:rPr>
                <w:b/>
              </w:rPr>
            </w:pPr>
            <w:r w:rsidRPr="00D834E3">
              <w:rPr>
                <w:b/>
              </w:rPr>
              <w:t>Ukupni rezultat na dan 30.6.202</w:t>
            </w:r>
            <w:r w:rsidR="00D834E3" w:rsidRPr="00D834E3">
              <w:rPr>
                <w:b/>
              </w:rPr>
              <w:t>4</w:t>
            </w:r>
            <w:r w:rsidRPr="00D834E3">
              <w:rPr>
                <w:b/>
              </w:rPr>
              <w:t>.</w:t>
            </w:r>
          </w:p>
        </w:tc>
      </w:tr>
      <w:tr w:rsidR="00D834E3" w:rsidRPr="00D834E3" w14:paraId="34166A79" w14:textId="77777777" w:rsidTr="009C1B10">
        <w:tc>
          <w:tcPr>
            <w:tcW w:w="2099" w:type="dxa"/>
          </w:tcPr>
          <w:p w14:paraId="677C27CF" w14:textId="24EC7B69" w:rsidR="009C1B10" w:rsidRPr="00D834E3" w:rsidRDefault="00D834E3" w:rsidP="009C1B10">
            <w:pPr>
              <w:jc w:val="center"/>
              <w:rPr>
                <w:bCs/>
              </w:rPr>
            </w:pPr>
            <w:r w:rsidRPr="00D834E3">
              <w:rPr>
                <w:bCs/>
              </w:rPr>
              <w:t>-45.011,44</w:t>
            </w:r>
          </w:p>
        </w:tc>
        <w:tc>
          <w:tcPr>
            <w:tcW w:w="1582" w:type="dxa"/>
          </w:tcPr>
          <w:p w14:paraId="21101847" w14:textId="4456D430" w:rsidR="009C1B10" w:rsidRPr="00D834E3" w:rsidRDefault="00D834E3" w:rsidP="009C1B10">
            <w:pPr>
              <w:jc w:val="center"/>
              <w:rPr>
                <w:bCs/>
              </w:rPr>
            </w:pPr>
            <w:r w:rsidRPr="00D834E3">
              <w:rPr>
                <w:bCs/>
              </w:rPr>
              <w:t>1.580.267,16</w:t>
            </w:r>
          </w:p>
        </w:tc>
        <w:tc>
          <w:tcPr>
            <w:tcW w:w="1701" w:type="dxa"/>
          </w:tcPr>
          <w:p w14:paraId="01801ABD" w14:textId="4F9E1540" w:rsidR="009C1B10" w:rsidRPr="00D834E3" w:rsidRDefault="00D834E3" w:rsidP="009C1B10">
            <w:pPr>
              <w:jc w:val="center"/>
              <w:rPr>
                <w:bCs/>
              </w:rPr>
            </w:pPr>
            <w:r w:rsidRPr="00D834E3">
              <w:rPr>
                <w:bCs/>
              </w:rPr>
              <w:t>1.581.250,01</w:t>
            </w:r>
          </w:p>
        </w:tc>
        <w:tc>
          <w:tcPr>
            <w:tcW w:w="1579" w:type="dxa"/>
          </w:tcPr>
          <w:p w14:paraId="2A8E67F4" w14:textId="7827DC05" w:rsidR="009C1B10" w:rsidRPr="00D834E3" w:rsidRDefault="00D834E3" w:rsidP="009C1B10">
            <w:pPr>
              <w:jc w:val="center"/>
              <w:rPr>
                <w:bCs/>
              </w:rPr>
            </w:pPr>
            <w:r w:rsidRPr="00D834E3">
              <w:rPr>
                <w:bCs/>
              </w:rPr>
              <w:t>-982,85</w:t>
            </w:r>
          </w:p>
        </w:tc>
        <w:tc>
          <w:tcPr>
            <w:tcW w:w="2106" w:type="dxa"/>
          </w:tcPr>
          <w:p w14:paraId="3436C453" w14:textId="102AD9B7" w:rsidR="009C1B10" w:rsidRPr="00D834E3" w:rsidRDefault="00D834E3" w:rsidP="009C1B10">
            <w:pPr>
              <w:jc w:val="center"/>
              <w:rPr>
                <w:bCs/>
              </w:rPr>
            </w:pPr>
            <w:r w:rsidRPr="00D834E3">
              <w:rPr>
                <w:bCs/>
              </w:rPr>
              <w:t>-45.994,29</w:t>
            </w:r>
          </w:p>
        </w:tc>
      </w:tr>
    </w:tbl>
    <w:p w14:paraId="27E9F2AF" w14:textId="77777777" w:rsidR="006E3415" w:rsidRPr="007143FD" w:rsidRDefault="006E3415" w:rsidP="00842CA5">
      <w:pPr>
        <w:jc w:val="center"/>
        <w:rPr>
          <w:b/>
          <w:color w:val="FF0000"/>
        </w:rPr>
      </w:pPr>
    </w:p>
    <w:p w14:paraId="7C83D052" w14:textId="0F397191" w:rsidR="005B651F" w:rsidRPr="006B5960" w:rsidRDefault="006B5960" w:rsidP="00E4212A">
      <w:pPr>
        <w:jc w:val="both"/>
        <w:rPr>
          <w:rFonts w:eastAsia="Calibri"/>
          <w:lang w:eastAsia="en-US"/>
        </w:rPr>
      </w:pPr>
      <w:r w:rsidRPr="006B5960">
        <w:rPr>
          <w:rFonts w:eastAsia="Calibri"/>
          <w:lang w:eastAsia="en-US"/>
        </w:rPr>
        <w:t>Tabelarni prikaz utvrđenog rezultata po izvorima financiranja:</w:t>
      </w:r>
    </w:p>
    <w:p w14:paraId="29C68D70" w14:textId="412CB949" w:rsidR="006B5960" w:rsidRDefault="006B5960" w:rsidP="00E4212A">
      <w:pPr>
        <w:jc w:val="both"/>
        <w:rPr>
          <w:rFonts w:eastAsia="Calibri"/>
          <w:color w:val="FF0000"/>
          <w:lang w:eastAsia="en-US"/>
        </w:rPr>
      </w:pPr>
    </w:p>
    <w:tbl>
      <w:tblPr>
        <w:tblStyle w:val="Reetkatablice"/>
        <w:tblW w:w="7508" w:type="dxa"/>
        <w:tblLook w:val="04A0" w:firstRow="1" w:lastRow="0" w:firstColumn="1" w:lastColumn="0" w:noHBand="0" w:noVBand="1"/>
      </w:tblPr>
      <w:tblGrid>
        <w:gridCol w:w="1129"/>
        <w:gridCol w:w="4111"/>
        <w:gridCol w:w="2268"/>
      </w:tblGrid>
      <w:tr w:rsidR="006B5960" w:rsidRPr="00D834E3" w14:paraId="16AF9D31" w14:textId="77777777" w:rsidTr="006B5960">
        <w:tc>
          <w:tcPr>
            <w:tcW w:w="1129" w:type="dxa"/>
            <w:shd w:val="clear" w:color="auto" w:fill="B8CCE4" w:themeFill="accent1" w:themeFillTint="66"/>
          </w:tcPr>
          <w:p w14:paraId="2CD52FD7" w14:textId="5D0D2D3B" w:rsidR="006B5960" w:rsidRPr="00D834E3" w:rsidRDefault="006B5960" w:rsidP="00D61419">
            <w:pPr>
              <w:jc w:val="center"/>
              <w:rPr>
                <w:b/>
              </w:rPr>
            </w:pPr>
            <w:r>
              <w:rPr>
                <w:b/>
              </w:rPr>
              <w:t>Izvor</w:t>
            </w:r>
          </w:p>
        </w:tc>
        <w:tc>
          <w:tcPr>
            <w:tcW w:w="4111" w:type="dxa"/>
            <w:shd w:val="clear" w:color="auto" w:fill="B8CCE4" w:themeFill="accent1" w:themeFillTint="66"/>
          </w:tcPr>
          <w:p w14:paraId="09992147" w14:textId="0D7CF27D" w:rsidR="006B5960" w:rsidRPr="00D834E3" w:rsidRDefault="006B5960" w:rsidP="00D61419">
            <w:pPr>
              <w:jc w:val="center"/>
              <w:rPr>
                <w:b/>
              </w:rPr>
            </w:pPr>
            <w:r>
              <w:rPr>
                <w:b/>
              </w:rPr>
              <w:t>Naziv izvora</w:t>
            </w:r>
          </w:p>
        </w:tc>
        <w:tc>
          <w:tcPr>
            <w:tcW w:w="2268" w:type="dxa"/>
            <w:shd w:val="clear" w:color="auto" w:fill="B8CCE4" w:themeFill="accent1" w:themeFillTint="66"/>
          </w:tcPr>
          <w:p w14:paraId="529E4FEC" w14:textId="6058E711" w:rsidR="006B5960" w:rsidRPr="00D834E3" w:rsidRDefault="006B5960" w:rsidP="00D61419">
            <w:pPr>
              <w:jc w:val="center"/>
              <w:rPr>
                <w:b/>
              </w:rPr>
            </w:pPr>
            <w:r>
              <w:rPr>
                <w:b/>
              </w:rPr>
              <w:t>Manjak/višak</w:t>
            </w:r>
          </w:p>
        </w:tc>
      </w:tr>
      <w:tr w:rsidR="006B5960" w:rsidRPr="00D834E3" w14:paraId="17611ECC" w14:textId="77777777" w:rsidTr="006B5960">
        <w:tc>
          <w:tcPr>
            <w:tcW w:w="1129" w:type="dxa"/>
          </w:tcPr>
          <w:p w14:paraId="6A2E12A0" w14:textId="05B7163D" w:rsidR="006B5960" w:rsidRPr="00D834E3" w:rsidRDefault="006B5960" w:rsidP="00D61419">
            <w:pPr>
              <w:jc w:val="center"/>
              <w:rPr>
                <w:bCs/>
              </w:rPr>
            </w:pPr>
            <w:r>
              <w:rPr>
                <w:bCs/>
              </w:rPr>
              <w:t>1</w:t>
            </w:r>
          </w:p>
        </w:tc>
        <w:tc>
          <w:tcPr>
            <w:tcW w:w="4111" w:type="dxa"/>
          </w:tcPr>
          <w:p w14:paraId="048D7C50" w14:textId="0656539F" w:rsidR="006B5960" w:rsidRPr="00D834E3" w:rsidRDefault="006B5960" w:rsidP="006B5960">
            <w:pPr>
              <w:rPr>
                <w:bCs/>
              </w:rPr>
            </w:pPr>
            <w:r>
              <w:rPr>
                <w:bCs/>
              </w:rPr>
              <w:t>Opći prihodi i primici</w:t>
            </w:r>
          </w:p>
        </w:tc>
        <w:tc>
          <w:tcPr>
            <w:tcW w:w="2268" w:type="dxa"/>
          </w:tcPr>
          <w:p w14:paraId="42E6CA07" w14:textId="0047BE7B" w:rsidR="006B5960" w:rsidRPr="00D834E3" w:rsidRDefault="006B5960" w:rsidP="006B5960">
            <w:pPr>
              <w:jc w:val="right"/>
              <w:rPr>
                <w:bCs/>
              </w:rPr>
            </w:pPr>
            <w:r>
              <w:rPr>
                <w:bCs/>
              </w:rPr>
              <w:t>-16.877,35</w:t>
            </w:r>
          </w:p>
        </w:tc>
      </w:tr>
      <w:tr w:rsidR="006B5960" w:rsidRPr="00D834E3" w14:paraId="57E09DC9" w14:textId="77777777" w:rsidTr="006B5960">
        <w:tc>
          <w:tcPr>
            <w:tcW w:w="1129" w:type="dxa"/>
          </w:tcPr>
          <w:p w14:paraId="2D81DC1B" w14:textId="5F120980" w:rsidR="006B5960" w:rsidRDefault="006B5960" w:rsidP="00D61419">
            <w:pPr>
              <w:jc w:val="center"/>
              <w:rPr>
                <w:bCs/>
              </w:rPr>
            </w:pPr>
            <w:r>
              <w:rPr>
                <w:bCs/>
              </w:rPr>
              <w:t>2</w:t>
            </w:r>
          </w:p>
        </w:tc>
        <w:tc>
          <w:tcPr>
            <w:tcW w:w="4111" w:type="dxa"/>
          </w:tcPr>
          <w:p w14:paraId="69E5CDD3" w14:textId="07DEBBDB" w:rsidR="006B5960" w:rsidRDefault="006B5960" w:rsidP="006B5960">
            <w:pPr>
              <w:rPr>
                <w:bCs/>
              </w:rPr>
            </w:pPr>
            <w:r>
              <w:rPr>
                <w:bCs/>
              </w:rPr>
              <w:t>Vlastiti prihodi</w:t>
            </w:r>
          </w:p>
        </w:tc>
        <w:tc>
          <w:tcPr>
            <w:tcW w:w="2268" w:type="dxa"/>
          </w:tcPr>
          <w:p w14:paraId="30160593" w14:textId="58E2B1F9" w:rsidR="006B5960" w:rsidRDefault="006B5960" w:rsidP="006B5960">
            <w:pPr>
              <w:jc w:val="right"/>
              <w:rPr>
                <w:bCs/>
              </w:rPr>
            </w:pPr>
            <w:r>
              <w:rPr>
                <w:bCs/>
              </w:rPr>
              <w:t>663,96</w:t>
            </w:r>
          </w:p>
        </w:tc>
      </w:tr>
      <w:tr w:rsidR="006B5960" w:rsidRPr="00D834E3" w14:paraId="4ACDC31C" w14:textId="77777777" w:rsidTr="006B5960">
        <w:tc>
          <w:tcPr>
            <w:tcW w:w="1129" w:type="dxa"/>
          </w:tcPr>
          <w:p w14:paraId="6E11C114" w14:textId="52C2D838" w:rsidR="006B5960" w:rsidRDefault="006B5960" w:rsidP="00D61419">
            <w:pPr>
              <w:jc w:val="center"/>
              <w:rPr>
                <w:bCs/>
              </w:rPr>
            </w:pPr>
            <w:r>
              <w:rPr>
                <w:bCs/>
              </w:rPr>
              <w:t>3</w:t>
            </w:r>
          </w:p>
        </w:tc>
        <w:tc>
          <w:tcPr>
            <w:tcW w:w="4111" w:type="dxa"/>
          </w:tcPr>
          <w:p w14:paraId="3A290671" w14:textId="0C7264C8" w:rsidR="006B5960" w:rsidRDefault="006B5960" w:rsidP="006B5960">
            <w:pPr>
              <w:rPr>
                <w:bCs/>
              </w:rPr>
            </w:pPr>
            <w:r>
              <w:rPr>
                <w:bCs/>
              </w:rPr>
              <w:t>Prihodi za posebne namjene</w:t>
            </w:r>
          </w:p>
        </w:tc>
        <w:tc>
          <w:tcPr>
            <w:tcW w:w="2268" w:type="dxa"/>
          </w:tcPr>
          <w:p w14:paraId="52E8DF5D" w14:textId="35095145" w:rsidR="006B5960" w:rsidRDefault="006B5960" w:rsidP="006B5960">
            <w:pPr>
              <w:jc w:val="right"/>
              <w:rPr>
                <w:bCs/>
              </w:rPr>
            </w:pPr>
            <w:r>
              <w:rPr>
                <w:bCs/>
              </w:rPr>
              <w:t>1.007,20</w:t>
            </w:r>
          </w:p>
        </w:tc>
      </w:tr>
      <w:tr w:rsidR="006B5960" w:rsidRPr="00D834E3" w14:paraId="3024B7C4" w14:textId="77777777" w:rsidTr="006B5960">
        <w:tc>
          <w:tcPr>
            <w:tcW w:w="1129" w:type="dxa"/>
          </w:tcPr>
          <w:p w14:paraId="29B46634" w14:textId="0BAA9C85" w:rsidR="006B5960" w:rsidRDefault="006B5960" w:rsidP="00D61419">
            <w:pPr>
              <w:jc w:val="center"/>
              <w:rPr>
                <w:bCs/>
              </w:rPr>
            </w:pPr>
            <w:r>
              <w:rPr>
                <w:bCs/>
              </w:rPr>
              <w:t>4</w:t>
            </w:r>
          </w:p>
        </w:tc>
        <w:tc>
          <w:tcPr>
            <w:tcW w:w="4111" w:type="dxa"/>
          </w:tcPr>
          <w:p w14:paraId="08C19955" w14:textId="580ADCD2" w:rsidR="006B5960" w:rsidRDefault="006B5960" w:rsidP="006B5960">
            <w:pPr>
              <w:rPr>
                <w:bCs/>
              </w:rPr>
            </w:pPr>
            <w:r>
              <w:rPr>
                <w:bCs/>
              </w:rPr>
              <w:t>Pomoći</w:t>
            </w:r>
          </w:p>
        </w:tc>
        <w:tc>
          <w:tcPr>
            <w:tcW w:w="2268" w:type="dxa"/>
          </w:tcPr>
          <w:p w14:paraId="06240D73" w14:textId="3BEE9F41" w:rsidR="006B5960" w:rsidRDefault="006B5960" w:rsidP="006B5960">
            <w:pPr>
              <w:jc w:val="right"/>
              <w:rPr>
                <w:bCs/>
              </w:rPr>
            </w:pPr>
            <w:r>
              <w:rPr>
                <w:bCs/>
              </w:rPr>
              <w:t>-29.830,09</w:t>
            </w:r>
          </w:p>
        </w:tc>
      </w:tr>
      <w:tr w:rsidR="006B5960" w:rsidRPr="00D834E3" w14:paraId="6751CD0B" w14:textId="77777777" w:rsidTr="006B5960">
        <w:tc>
          <w:tcPr>
            <w:tcW w:w="1129" w:type="dxa"/>
          </w:tcPr>
          <w:p w14:paraId="37701A2C" w14:textId="48341E27" w:rsidR="006B5960" w:rsidRDefault="006B5960" w:rsidP="00D61419">
            <w:pPr>
              <w:jc w:val="center"/>
              <w:rPr>
                <w:bCs/>
              </w:rPr>
            </w:pPr>
            <w:r>
              <w:rPr>
                <w:bCs/>
              </w:rPr>
              <w:t>5</w:t>
            </w:r>
          </w:p>
        </w:tc>
        <w:tc>
          <w:tcPr>
            <w:tcW w:w="4111" w:type="dxa"/>
          </w:tcPr>
          <w:p w14:paraId="62A8CEEB" w14:textId="3313FBF4" w:rsidR="006B5960" w:rsidRDefault="006B5960" w:rsidP="006B5960">
            <w:pPr>
              <w:rPr>
                <w:bCs/>
              </w:rPr>
            </w:pPr>
            <w:r>
              <w:rPr>
                <w:bCs/>
              </w:rPr>
              <w:t>Donacije</w:t>
            </w:r>
          </w:p>
        </w:tc>
        <w:tc>
          <w:tcPr>
            <w:tcW w:w="2268" w:type="dxa"/>
          </w:tcPr>
          <w:p w14:paraId="0116EB69" w14:textId="4CABBF20" w:rsidR="006B5960" w:rsidRDefault="006B5960" w:rsidP="006B5960">
            <w:pPr>
              <w:jc w:val="right"/>
              <w:rPr>
                <w:bCs/>
              </w:rPr>
            </w:pPr>
            <w:r>
              <w:rPr>
                <w:bCs/>
              </w:rPr>
              <w:t>24,84</w:t>
            </w:r>
          </w:p>
        </w:tc>
      </w:tr>
      <w:tr w:rsidR="006B5960" w:rsidRPr="00D834E3" w14:paraId="37F0024B" w14:textId="77777777" w:rsidTr="006B5960">
        <w:tc>
          <w:tcPr>
            <w:tcW w:w="1129" w:type="dxa"/>
          </w:tcPr>
          <w:p w14:paraId="1EB51C99" w14:textId="77777777" w:rsidR="006B5960" w:rsidRDefault="006B5960" w:rsidP="00D61419">
            <w:pPr>
              <w:jc w:val="center"/>
              <w:rPr>
                <w:bCs/>
              </w:rPr>
            </w:pPr>
          </w:p>
        </w:tc>
        <w:tc>
          <w:tcPr>
            <w:tcW w:w="4111" w:type="dxa"/>
          </w:tcPr>
          <w:p w14:paraId="2516ECD4" w14:textId="569AA08C" w:rsidR="006B5960" w:rsidRPr="006B5960" w:rsidRDefault="006B5960" w:rsidP="00D61419">
            <w:pPr>
              <w:jc w:val="center"/>
              <w:rPr>
                <w:b/>
              </w:rPr>
            </w:pPr>
            <w:r w:rsidRPr="006B5960">
              <w:rPr>
                <w:b/>
              </w:rPr>
              <w:t>Ukupno preneseni rezultat:</w:t>
            </w:r>
          </w:p>
        </w:tc>
        <w:tc>
          <w:tcPr>
            <w:tcW w:w="2268" w:type="dxa"/>
          </w:tcPr>
          <w:p w14:paraId="7B885349" w14:textId="3525A4B0" w:rsidR="006B5960" w:rsidRPr="006B5960" w:rsidRDefault="006B5960" w:rsidP="006B5960">
            <w:pPr>
              <w:jc w:val="right"/>
              <w:rPr>
                <w:b/>
              </w:rPr>
            </w:pPr>
            <w:r w:rsidRPr="006B5960">
              <w:rPr>
                <w:b/>
              </w:rPr>
              <w:t>-45.011,44</w:t>
            </w:r>
          </w:p>
        </w:tc>
      </w:tr>
    </w:tbl>
    <w:p w14:paraId="7954EADC" w14:textId="77777777" w:rsidR="005B651F" w:rsidRPr="007143FD" w:rsidRDefault="005B651F" w:rsidP="00E4212A">
      <w:pPr>
        <w:jc w:val="both"/>
        <w:rPr>
          <w:color w:val="FF0000"/>
        </w:rPr>
      </w:pPr>
    </w:p>
    <w:p w14:paraId="6ED4FF36" w14:textId="77777777" w:rsidR="009D2129" w:rsidRDefault="009D2129" w:rsidP="009D2129">
      <w:pPr>
        <w:rPr>
          <w:bCs/>
        </w:rPr>
      </w:pPr>
    </w:p>
    <w:p w14:paraId="7ED274C5" w14:textId="625B97A2" w:rsidR="009D2129" w:rsidRPr="00E411EE" w:rsidRDefault="009D2129" w:rsidP="009D2129">
      <w:pPr>
        <w:rPr>
          <w:bCs/>
        </w:rPr>
      </w:pPr>
      <w:r w:rsidRPr="00E411EE">
        <w:rPr>
          <w:bCs/>
        </w:rPr>
        <w:t>KLASA:</w:t>
      </w:r>
      <w:r>
        <w:rPr>
          <w:bCs/>
        </w:rPr>
        <w:t>400-04/24-01/6</w:t>
      </w:r>
    </w:p>
    <w:p w14:paraId="6AD69C0E" w14:textId="18828BBD" w:rsidR="009D2129" w:rsidRPr="00E411EE" w:rsidRDefault="009D2129" w:rsidP="009D2129">
      <w:pPr>
        <w:rPr>
          <w:bCs/>
        </w:rPr>
      </w:pPr>
      <w:r w:rsidRPr="00E411EE">
        <w:rPr>
          <w:bCs/>
        </w:rPr>
        <w:t>URBROJ:</w:t>
      </w:r>
      <w:r>
        <w:rPr>
          <w:bCs/>
        </w:rPr>
        <w:t xml:space="preserve"> 2137-30-24-</w:t>
      </w:r>
      <w:r w:rsidR="009C0A5C">
        <w:rPr>
          <w:bCs/>
        </w:rPr>
        <w:t>4</w:t>
      </w:r>
    </w:p>
    <w:p w14:paraId="462DB3E8" w14:textId="2162AD9B" w:rsidR="009D2129" w:rsidRPr="00A638EC" w:rsidRDefault="009D2129" w:rsidP="009D2129">
      <w:pPr>
        <w:rPr>
          <w:bCs/>
        </w:rPr>
      </w:pPr>
      <w:r w:rsidRPr="00E411EE">
        <w:rPr>
          <w:bCs/>
        </w:rPr>
        <w:t>Koprivnica,</w:t>
      </w:r>
      <w:r w:rsidRPr="00021A7B">
        <w:rPr>
          <w:bCs/>
        </w:rPr>
        <w:t xml:space="preserve"> </w:t>
      </w:r>
      <w:r w:rsidR="009C0A5C">
        <w:rPr>
          <w:bCs/>
        </w:rPr>
        <w:t>28.08.2024.</w:t>
      </w:r>
    </w:p>
    <w:p w14:paraId="11CCF4A7" w14:textId="77777777" w:rsidR="009D2129" w:rsidRDefault="009D2129" w:rsidP="0086030F">
      <w:pPr>
        <w:jc w:val="both"/>
      </w:pPr>
    </w:p>
    <w:p w14:paraId="0543FBBC" w14:textId="1E432AC8" w:rsidR="00E4212A" w:rsidRPr="00D03C1E" w:rsidRDefault="00A426AC" w:rsidP="0086030F">
      <w:pPr>
        <w:jc w:val="both"/>
      </w:pPr>
      <w:r w:rsidRPr="00D03C1E">
        <w:t>Obrazloženje izradila</w:t>
      </w:r>
      <w:r w:rsidR="00456703" w:rsidRPr="00D03C1E">
        <w:t>:</w:t>
      </w:r>
      <w:r w:rsidR="00E4212A" w:rsidRPr="00D03C1E">
        <w:rPr>
          <w:b/>
          <w:bCs/>
        </w:rPr>
        <w:tab/>
      </w:r>
      <w:r w:rsidR="00E4212A" w:rsidRPr="00D03C1E">
        <w:rPr>
          <w:b/>
          <w:bCs/>
        </w:rPr>
        <w:tab/>
      </w:r>
      <w:r w:rsidR="00E4212A" w:rsidRPr="00D03C1E">
        <w:rPr>
          <w:b/>
          <w:bCs/>
        </w:rPr>
        <w:tab/>
      </w:r>
      <w:r w:rsidR="00E4212A" w:rsidRPr="00D03C1E">
        <w:rPr>
          <w:b/>
          <w:bCs/>
        </w:rPr>
        <w:tab/>
      </w:r>
      <w:r w:rsidR="00E37C3C" w:rsidRPr="00D03C1E">
        <w:rPr>
          <w:b/>
          <w:bCs/>
        </w:rPr>
        <w:tab/>
      </w:r>
      <w:r w:rsidR="00E37C3C" w:rsidRPr="00D03C1E">
        <w:t>RAVNATELJ ŠKOLE:</w:t>
      </w:r>
    </w:p>
    <w:p w14:paraId="130D67C1" w14:textId="4F379BF6" w:rsidR="00CC4848" w:rsidRDefault="00456703" w:rsidP="00CC4848">
      <w:pPr>
        <w:jc w:val="both"/>
      </w:pPr>
      <w:r w:rsidRPr="00D03C1E">
        <w:t xml:space="preserve">     Andreja Eršetić</w:t>
      </w:r>
      <w:r w:rsidRPr="00D03C1E">
        <w:tab/>
        <w:t xml:space="preserve">     </w:t>
      </w:r>
      <w:r w:rsidRPr="00D03C1E">
        <w:tab/>
      </w:r>
      <w:r w:rsidRPr="00D03C1E">
        <w:tab/>
      </w:r>
      <w:r w:rsidR="00CC4848" w:rsidRPr="00D03C1E">
        <w:tab/>
      </w:r>
      <w:r w:rsidR="00CC4848" w:rsidRPr="00D03C1E">
        <w:tab/>
      </w:r>
      <w:r w:rsidR="00CC4848" w:rsidRPr="00D03C1E">
        <w:tab/>
        <w:t xml:space="preserve">      </w:t>
      </w:r>
      <w:r w:rsidR="00E37C3C" w:rsidRPr="00D03C1E">
        <w:t>Krešo Grgac, prof.</w:t>
      </w:r>
    </w:p>
    <w:p w14:paraId="6EB21C9A" w14:textId="77777777" w:rsidR="00865AEB" w:rsidRPr="00D03C1E" w:rsidRDefault="00865AEB" w:rsidP="00865AEB">
      <w:pPr>
        <w:jc w:val="both"/>
      </w:pPr>
      <w:r w:rsidRPr="00D03C1E">
        <w:t>Voditeljica računovodstva</w:t>
      </w:r>
      <w:r w:rsidRPr="00D03C1E">
        <w:tab/>
      </w:r>
    </w:p>
    <w:p w14:paraId="23670D7A" w14:textId="420042C5" w:rsidR="006B5960" w:rsidRPr="00D03C1E" w:rsidRDefault="00865AEB" w:rsidP="00865AEB">
      <w:pPr>
        <w:jc w:val="both"/>
      </w:pPr>
      <w:r w:rsidRPr="00D03C1E">
        <w:tab/>
      </w:r>
      <w:r w:rsidRPr="00D03C1E">
        <w:tab/>
      </w:r>
      <w:r w:rsidRPr="00D03C1E">
        <w:tab/>
      </w:r>
      <w:r w:rsidRPr="00D03C1E">
        <w:tab/>
      </w:r>
    </w:p>
    <w:p w14:paraId="14BB6CBD" w14:textId="32AE0A0B" w:rsidR="00E37C3C" w:rsidRPr="00D03C1E" w:rsidRDefault="00C25F56" w:rsidP="00E37C3C">
      <w:pPr>
        <w:jc w:val="both"/>
      </w:pPr>
      <w:r w:rsidRPr="00D03C1E">
        <w:tab/>
      </w:r>
      <w:r w:rsidRPr="00D03C1E">
        <w:tab/>
      </w:r>
      <w:r w:rsidR="00865AEB">
        <w:tab/>
      </w:r>
      <w:r w:rsidR="00865AEB">
        <w:tab/>
      </w:r>
      <w:r w:rsidR="00865AEB">
        <w:tab/>
      </w:r>
      <w:r w:rsidR="00865AEB">
        <w:tab/>
      </w:r>
      <w:r w:rsidRPr="00D03C1E">
        <w:tab/>
      </w:r>
      <w:r w:rsidR="00E37C3C" w:rsidRPr="00D03C1E">
        <w:t>PREDSJEDNIK ŠKOLSKOG ODBORA:</w:t>
      </w:r>
    </w:p>
    <w:p w14:paraId="362CEB0D" w14:textId="2486ACE2" w:rsidR="00C25F56" w:rsidRPr="00D03C1E" w:rsidRDefault="00E37C3C" w:rsidP="006B5960">
      <w:pPr>
        <w:jc w:val="both"/>
      </w:pPr>
      <w:r w:rsidRPr="00D03C1E">
        <w:t xml:space="preserve">     </w:t>
      </w:r>
      <w:r w:rsidRPr="00D03C1E">
        <w:tab/>
        <w:t xml:space="preserve">     </w:t>
      </w:r>
      <w:r w:rsidRPr="00D03C1E">
        <w:tab/>
      </w:r>
      <w:r w:rsidRPr="00D03C1E">
        <w:tab/>
      </w:r>
      <w:r w:rsidRPr="00D03C1E">
        <w:tab/>
      </w:r>
      <w:r w:rsidRPr="00D03C1E">
        <w:tab/>
      </w:r>
      <w:r w:rsidRPr="00D03C1E">
        <w:tab/>
        <w:t xml:space="preserve">     </w:t>
      </w:r>
      <w:r w:rsidRPr="00D03C1E">
        <w:tab/>
      </w:r>
      <w:r w:rsidRPr="00D03C1E">
        <w:tab/>
        <w:t xml:space="preserve"> Josip Pankarić, prof.</w:t>
      </w:r>
    </w:p>
    <w:sectPr w:rsidR="00C25F56" w:rsidRPr="00D03C1E" w:rsidSect="00223426">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E1ABA2" w14:textId="77777777" w:rsidR="00FC058F" w:rsidRDefault="00FC058F">
      <w:r>
        <w:separator/>
      </w:r>
    </w:p>
  </w:endnote>
  <w:endnote w:type="continuationSeparator" w:id="0">
    <w:p w14:paraId="7660DB03" w14:textId="77777777" w:rsidR="00FC058F" w:rsidRDefault="00FC05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EFDC7D" w14:textId="77777777" w:rsidR="00F70950" w:rsidRDefault="00F70950">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3600663"/>
      <w:docPartObj>
        <w:docPartGallery w:val="Page Numbers (Bottom of Page)"/>
        <w:docPartUnique/>
      </w:docPartObj>
    </w:sdtPr>
    <w:sdtEndPr/>
    <w:sdtContent>
      <w:p w14:paraId="58D7CCA5" w14:textId="77777777" w:rsidR="00F70950" w:rsidRDefault="00F70950">
        <w:pPr>
          <w:pStyle w:val="Podnoje"/>
          <w:jc w:val="right"/>
        </w:pPr>
        <w:r>
          <w:fldChar w:fldCharType="begin"/>
        </w:r>
        <w:r>
          <w:instrText>PAGE   \* MERGEFORMAT</w:instrText>
        </w:r>
        <w:r>
          <w:fldChar w:fldCharType="separate"/>
        </w:r>
        <w:r>
          <w:rPr>
            <w:noProof/>
          </w:rPr>
          <w:t>2</w:t>
        </w:r>
        <w:r>
          <w:fldChar w:fldCharType="end"/>
        </w:r>
      </w:p>
    </w:sdtContent>
  </w:sdt>
  <w:p w14:paraId="69D2C5CF" w14:textId="77777777" w:rsidR="00F70950" w:rsidRDefault="00F70950">
    <w:pPr>
      <w:pStyle w:val="Podnoj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C69F78" w14:textId="77777777" w:rsidR="00F70950" w:rsidRDefault="00F70950">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F5F7CD" w14:textId="77777777" w:rsidR="00FC058F" w:rsidRDefault="00FC058F">
      <w:r>
        <w:separator/>
      </w:r>
    </w:p>
  </w:footnote>
  <w:footnote w:type="continuationSeparator" w:id="0">
    <w:p w14:paraId="643FEC1D" w14:textId="77777777" w:rsidR="00FC058F" w:rsidRDefault="00FC05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43E899" w14:textId="77777777" w:rsidR="00F70950" w:rsidRDefault="00F70950">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E9BA51" w14:textId="77777777" w:rsidR="00F70950" w:rsidRDefault="00F70950">
    <w:pPr>
      <w:pStyle w:val="Zaglavlj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1CD4C3" w14:textId="77777777" w:rsidR="00F70950" w:rsidRDefault="00F70950">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style="width:11.25pt;height:11.25pt" o:bullet="t">
        <v:imagedata r:id="rId1" o:title="mso3"/>
      </v:shape>
    </w:pict>
  </w:numPicBullet>
  <w:abstractNum w:abstractNumId="0" w15:restartNumberingAfterBreak="0">
    <w:nsid w:val="3EDC30D5"/>
    <w:multiLevelType w:val="hybridMultilevel"/>
    <w:tmpl w:val="F6048A7C"/>
    <w:lvl w:ilvl="0" w:tplc="2EA83960">
      <w:numFmt w:val="bullet"/>
      <w:lvlText w:val="-"/>
      <w:lvlJc w:val="left"/>
      <w:pPr>
        <w:tabs>
          <w:tab w:val="num" w:pos="720"/>
        </w:tabs>
        <w:ind w:left="720" w:hanging="360"/>
      </w:pPr>
      <w:rPr>
        <w:rFonts w:ascii="Times New Roman" w:eastAsia="Times New Roman" w:hAnsi="Times New Roman" w:cs="Times New Roman" w:hint="default"/>
      </w:rPr>
    </w:lvl>
    <w:lvl w:ilvl="1" w:tplc="041A0007">
      <w:start w:val="1"/>
      <w:numFmt w:val="bullet"/>
      <w:lvlText w:val=""/>
      <w:lvlPicBulletId w:val="0"/>
      <w:lvlJc w:val="left"/>
      <w:pPr>
        <w:tabs>
          <w:tab w:val="num" w:pos="1440"/>
        </w:tabs>
        <w:ind w:left="1440" w:hanging="360"/>
      </w:pPr>
      <w:rPr>
        <w:rFonts w:ascii="Symbol" w:hAnsi="Symbol"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2C955F0"/>
    <w:multiLevelType w:val="hybridMultilevel"/>
    <w:tmpl w:val="574EE6B8"/>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 w15:restartNumberingAfterBreak="0">
    <w:nsid w:val="72CF3D9C"/>
    <w:multiLevelType w:val="multilevel"/>
    <w:tmpl w:val="B1B04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D6D23B5"/>
    <w:multiLevelType w:val="hybridMultilevel"/>
    <w:tmpl w:val="01AEC9EC"/>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12A"/>
    <w:rsid w:val="00003EC7"/>
    <w:rsid w:val="0000483D"/>
    <w:rsid w:val="00006FF7"/>
    <w:rsid w:val="00007DC1"/>
    <w:rsid w:val="00015C90"/>
    <w:rsid w:val="00015E1B"/>
    <w:rsid w:val="0001602A"/>
    <w:rsid w:val="00016BC0"/>
    <w:rsid w:val="0001719D"/>
    <w:rsid w:val="00021A7B"/>
    <w:rsid w:val="00030294"/>
    <w:rsid w:val="00035DC3"/>
    <w:rsid w:val="00036728"/>
    <w:rsid w:val="00036953"/>
    <w:rsid w:val="0004179F"/>
    <w:rsid w:val="00050672"/>
    <w:rsid w:val="000543D9"/>
    <w:rsid w:val="000548C6"/>
    <w:rsid w:val="00054D60"/>
    <w:rsid w:val="000550A3"/>
    <w:rsid w:val="000620BF"/>
    <w:rsid w:val="000637D5"/>
    <w:rsid w:val="00070353"/>
    <w:rsid w:val="00071C2E"/>
    <w:rsid w:val="00080E9B"/>
    <w:rsid w:val="0009280C"/>
    <w:rsid w:val="000A0484"/>
    <w:rsid w:val="000A2C2A"/>
    <w:rsid w:val="000A3739"/>
    <w:rsid w:val="000A4F95"/>
    <w:rsid w:val="000B728B"/>
    <w:rsid w:val="000C1A4A"/>
    <w:rsid w:val="000C4DC0"/>
    <w:rsid w:val="000D290D"/>
    <w:rsid w:val="000D3C24"/>
    <w:rsid w:val="000D765B"/>
    <w:rsid w:val="000E22DD"/>
    <w:rsid w:val="000E3425"/>
    <w:rsid w:val="000E6D43"/>
    <w:rsid w:val="000F2E9C"/>
    <w:rsid w:val="000F3A64"/>
    <w:rsid w:val="001077F0"/>
    <w:rsid w:val="00113711"/>
    <w:rsid w:val="00113A30"/>
    <w:rsid w:val="00121108"/>
    <w:rsid w:val="0013277D"/>
    <w:rsid w:val="00132B57"/>
    <w:rsid w:val="00137EE5"/>
    <w:rsid w:val="001431E6"/>
    <w:rsid w:val="00151CB0"/>
    <w:rsid w:val="00163298"/>
    <w:rsid w:val="0016453F"/>
    <w:rsid w:val="00165DBC"/>
    <w:rsid w:val="00167FB5"/>
    <w:rsid w:val="00174294"/>
    <w:rsid w:val="001810E2"/>
    <w:rsid w:val="00184008"/>
    <w:rsid w:val="00184D70"/>
    <w:rsid w:val="0019657C"/>
    <w:rsid w:val="001A2A47"/>
    <w:rsid w:val="001B39F8"/>
    <w:rsid w:val="001B5FCE"/>
    <w:rsid w:val="001C333B"/>
    <w:rsid w:val="001D3B60"/>
    <w:rsid w:val="00200703"/>
    <w:rsid w:val="002112D6"/>
    <w:rsid w:val="0021402E"/>
    <w:rsid w:val="00223426"/>
    <w:rsid w:val="00223A63"/>
    <w:rsid w:val="0022561E"/>
    <w:rsid w:val="00232463"/>
    <w:rsid w:val="00240B72"/>
    <w:rsid w:val="00242D06"/>
    <w:rsid w:val="00245224"/>
    <w:rsid w:val="00254832"/>
    <w:rsid w:val="002551C7"/>
    <w:rsid w:val="00255E85"/>
    <w:rsid w:val="002634CF"/>
    <w:rsid w:val="002719CE"/>
    <w:rsid w:val="00271D28"/>
    <w:rsid w:val="00276F94"/>
    <w:rsid w:val="00284E96"/>
    <w:rsid w:val="002A0027"/>
    <w:rsid w:val="002A0388"/>
    <w:rsid w:val="002A170E"/>
    <w:rsid w:val="002A68DA"/>
    <w:rsid w:val="002C7F89"/>
    <w:rsid w:val="002D465F"/>
    <w:rsid w:val="002D76B6"/>
    <w:rsid w:val="002E07B7"/>
    <w:rsid w:val="002E14B5"/>
    <w:rsid w:val="002E5714"/>
    <w:rsid w:val="002F78B5"/>
    <w:rsid w:val="003114A1"/>
    <w:rsid w:val="003143DF"/>
    <w:rsid w:val="00316759"/>
    <w:rsid w:val="00334900"/>
    <w:rsid w:val="0033546A"/>
    <w:rsid w:val="003357DF"/>
    <w:rsid w:val="003375C1"/>
    <w:rsid w:val="00344706"/>
    <w:rsid w:val="00350BB6"/>
    <w:rsid w:val="00351CCA"/>
    <w:rsid w:val="00356265"/>
    <w:rsid w:val="00360294"/>
    <w:rsid w:val="00360AA5"/>
    <w:rsid w:val="003645EB"/>
    <w:rsid w:val="00364AA0"/>
    <w:rsid w:val="00364DA3"/>
    <w:rsid w:val="00371BC2"/>
    <w:rsid w:val="003720F6"/>
    <w:rsid w:val="00372662"/>
    <w:rsid w:val="00373EA7"/>
    <w:rsid w:val="00380439"/>
    <w:rsid w:val="0038214C"/>
    <w:rsid w:val="00394378"/>
    <w:rsid w:val="003A24ED"/>
    <w:rsid w:val="003A35EE"/>
    <w:rsid w:val="003A632C"/>
    <w:rsid w:val="003B2212"/>
    <w:rsid w:val="003B3994"/>
    <w:rsid w:val="003B763B"/>
    <w:rsid w:val="003C510B"/>
    <w:rsid w:val="003C6219"/>
    <w:rsid w:val="003D1992"/>
    <w:rsid w:val="003D2F2D"/>
    <w:rsid w:val="003D77F7"/>
    <w:rsid w:val="003E1D10"/>
    <w:rsid w:val="003F1B24"/>
    <w:rsid w:val="003F48F0"/>
    <w:rsid w:val="003F7E31"/>
    <w:rsid w:val="00402210"/>
    <w:rsid w:val="00407799"/>
    <w:rsid w:val="00410251"/>
    <w:rsid w:val="0041131C"/>
    <w:rsid w:val="004119E8"/>
    <w:rsid w:val="004136EB"/>
    <w:rsid w:val="00413C07"/>
    <w:rsid w:val="0041649B"/>
    <w:rsid w:val="00423DA4"/>
    <w:rsid w:val="00425A50"/>
    <w:rsid w:val="0043781A"/>
    <w:rsid w:val="0043789E"/>
    <w:rsid w:val="00437B40"/>
    <w:rsid w:val="0044447E"/>
    <w:rsid w:val="00450542"/>
    <w:rsid w:val="00453F15"/>
    <w:rsid w:val="00456703"/>
    <w:rsid w:val="00462986"/>
    <w:rsid w:val="00463397"/>
    <w:rsid w:val="00464F00"/>
    <w:rsid w:val="00491D49"/>
    <w:rsid w:val="00495400"/>
    <w:rsid w:val="004A1EDE"/>
    <w:rsid w:val="004A456D"/>
    <w:rsid w:val="004B6DCF"/>
    <w:rsid w:val="004C7CA7"/>
    <w:rsid w:val="004D25B7"/>
    <w:rsid w:val="004D25C8"/>
    <w:rsid w:val="004D5663"/>
    <w:rsid w:val="004D64A4"/>
    <w:rsid w:val="004E00DA"/>
    <w:rsid w:val="004E77E4"/>
    <w:rsid w:val="004F49E6"/>
    <w:rsid w:val="004F6007"/>
    <w:rsid w:val="004F73FC"/>
    <w:rsid w:val="004F7D1D"/>
    <w:rsid w:val="00506E57"/>
    <w:rsid w:val="00513FD5"/>
    <w:rsid w:val="00521CCF"/>
    <w:rsid w:val="005256ED"/>
    <w:rsid w:val="00532EA3"/>
    <w:rsid w:val="00533441"/>
    <w:rsid w:val="005368CC"/>
    <w:rsid w:val="005372F2"/>
    <w:rsid w:val="00545C4D"/>
    <w:rsid w:val="00555F5F"/>
    <w:rsid w:val="00570DFF"/>
    <w:rsid w:val="005750DF"/>
    <w:rsid w:val="00575685"/>
    <w:rsid w:val="00576A0C"/>
    <w:rsid w:val="00577B5A"/>
    <w:rsid w:val="0058284E"/>
    <w:rsid w:val="00584346"/>
    <w:rsid w:val="005868A7"/>
    <w:rsid w:val="005913F0"/>
    <w:rsid w:val="00594F86"/>
    <w:rsid w:val="005A5479"/>
    <w:rsid w:val="005A7A18"/>
    <w:rsid w:val="005A7CB0"/>
    <w:rsid w:val="005B2F88"/>
    <w:rsid w:val="005B651F"/>
    <w:rsid w:val="005B76FA"/>
    <w:rsid w:val="005C2191"/>
    <w:rsid w:val="005C3F96"/>
    <w:rsid w:val="005D6F91"/>
    <w:rsid w:val="005D70AA"/>
    <w:rsid w:val="005D7CA3"/>
    <w:rsid w:val="005E1B3E"/>
    <w:rsid w:val="005E5FBB"/>
    <w:rsid w:val="005F3685"/>
    <w:rsid w:val="005F431A"/>
    <w:rsid w:val="005F4F76"/>
    <w:rsid w:val="00602D3C"/>
    <w:rsid w:val="0060504F"/>
    <w:rsid w:val="00606FC0"/>
    <w:rsid w:val="0060789E"/>
    <w:rsid w:val="0061021D"/>
    <w:rsid w:val="00615A23"/>
    <w:rsid w:val="00624CA8"/>
    <w:rsid w:val="00631493"/>
    <w:rsid w:val="00631A4A"/>
    <w:rsid w:val="006338C0"/>
    <w:rsid w:val="006359D9"/>
    <w:rsid w:val="00642AFC"/>
    <w:rsid w:val="006438D0"/>
    <w:rsid w:val="006441F9"/>
    <w:rsid w:val="0064498D"/>
    <w:rsid w:val="00647C69"/>
    <w:rsid w:val="00654437"/>
    <w:rsid w:val="00656783"/>
    <w:rsid w:val="00667AEA"/>
    <w:rsid w:val="00667C68"/>
    <w:rsid w:val="00675D7B"/>
    <w:rsid w:val="0067780D"/>
    <w:rsid w:val="00681C5A"/>
    <w:rsid w:val="006871A4"/>
    <w:rsid w:val="006905DF"/>
    <w:rsid w:val="006A10EE"/>
    <w:rsid w:val="006A45DF"/>
    <w:rsid w:val="006B5960"/>
    <w:rsid w:val="006B5EA3"/>
    <w:rsid w:val="006B7285"/>
    <w:rsid w:val="006C037D"/>
    <w:rsid w:val="006C3B42"/>
    <w:rsid w:val="006C6B35"/>
    <w:rsid w:val="006C6FA4"/>
    <w:rsid w:val="006D190F"/>
    <w:rsid w:val="006D3F68"/>
    <w:rsid w:val="006E3415"/>
    <w:rsid w:val="006E3DD8"/>
    <w:rsid w:val="006E3FFF"/>
    <w:rsid w:val="006F3447"/>
    <w:rsid w:val="00703306"/>
    <w:rsid w:val="007042B8"/>
    <w:rsid w:val="00705DBB"/>
    <w:rsid w:val="007070D6"/>
    <w:rsid w:val="00710412"/>
    <w:rsid w:val="007143FD"/>
    <w:rsid w:val="00715753"/>
    <w:rsid w:val="007170D3"/>
    <w:rsid w:val="00721C3D"/>
    <w:rsid w:val="00722227"/>
    <w:rsid w:val="00741750"/>
    <w:rsid w:val="007435BD"/>
    <w:rsid w:val="00746A56"/>
    <w:rsid w:val="00752833"/>
    <w:rsid w:val="0077174C"/>
    <w:rsid w:val="00773DE3"/>
    <w:rsid w:val="00782265"/>
    <w:rsid w:val="0078496D"/>
    <w:rsid w:val="007869C9"/>
    <w:rsid w:val="007947E1"/>
    <w:rsid w:val="00797C24"/>
    <w:rsid w:val="007B4DFD"/>
    <w:rsid w:val="007C539F"/>
    <w:rsid w:val="007D030B"/>
    <w:rsid w:val="007D22B8"/>
    <w:rsid w:val="007E0CEB"/>
    <w:rsid w:val="007F058E"/>
    <w:rsid w:val="007F6352"/>
    <w:rsid w:val="007F7DF0"/>
    <w:rsid w:val="008101B1"/>
    <w:rsid w:val="008107A5"/>
    <w:rsid w:val="00821CC0"/>
    <w:rsid w:val="008324C5"/>
    <w:rsid w:val="00840AD4"/>
    <w:rsid w:val="00842CA5"/>
    <w:rsid w:val="008435F7"/>
    <w:rsid w:val="00846126"/>
    <w:rsid w:val="00847FCF"/>
    <w:rsid w:val="0085794E"/>
    <w:rsid w:val="0086030F"/>
    <w:rsid w:val="00864FC8"/>
    <w:rsid w:val="00865AE7"/>
    <w:rsid w:val="00865AEB"/>
    <w:rsid w:val="00866119"/>
    <w:rsid w:val="0088295C"/>
    <w:rsid w:val="00884A7F"/>
    <w:rsid w:val="00885710"/>
    <w:rsid w:val="008A1789"/>
    <w:rsid w:val="008A2686"/>
    <w:rsid w:val="008B3EA6"/>
    <w:rsid w:val="008B4C54"/>
    <w:rsid w:val="008C3A46"/>
    <w:rsid w:val="008C4CD4"/>
    <w:rsid w:val="008C6575"/>
    <w:rsid w:val="008C6D22"/>
    <w:rsid w:val="008E0E46"/>
    <w:rsid w:val="008E53BE"/>
    <w:rsid w:val="008E5985"/>
    <w:rsid w:val="008E74CE"/>
    <w:rsid w:val="008F56D3"/>
    <w:rsid w:val="008F6AE3"/>
    <w:rsid w:val="0090681A"/>
    <w:rsid w:val="00911813"/>
    <w:rsid w:val="00914292"/>
    <w:rsid w:val="00916D2B"/>
    <w:rsid w:val="009218B5"/>
    <w:rsid w:val="00927295"/>
    <w:rsid w:val="009336FD"/>
    <w:rsid w:val="00934F19"/>
    <w:rsid w:val="00942B03"/>
    <w:rsid w:val="00943B9F"/>
    <w:rsid w:val="0094443F"/>
    <w:rsid w:val="00946D23"/>
    <w:rsid w:val="00956869"/>
    <w:rsid w:val="009710EB"/>
    <w:rsid w:val="00972CCA"/>
    <w:rsid w:val="00975123"/>
    <w:rsid w:val="00982952"/>
    <w:rsid w:val="009875F8"/>
    <w:rsid w:val="00992A19"/>
    <w:rsid w:val="00993D4F"/>
    <w:rsid w:val="009953DC"/>
    <w:rsid w:val="00996AFC"/>
    <w:rsid w:val="009A51F4"/>
    <w:rsid w:val="009A5BFF"/>
    <w:rsid w:val="009B5284"/>
    <w:rsid w:val="009C00A6"/>
    <w:rsid w:val="009C0A5C"/>
    <w:rsid w:val="009C1B10"/>
    <w:rsid w:val="009D18E6"/>
    <w:rsid w:val="009D2129"/>
    <w:rsid w:val="009D388F"/>
    <w:rsid w:val="009D6165"/>
    <w:rsid w:val="009D7CB7"/>
    <w:rsid w:val="009D7D5B"/>
    <w:rsid w:val="009E45CB"/>
    <w:rsid w:val="009E619D"/>
    <w:rsid w:val="009E7244"/>
    <w:rsid w:val="009E7E19"/>
    <w:rsid w:val="009F0996"/>
    <w:rsid w:val="009F7009"/>
    <w:rsid w:val="00A02018"/>
    <w:rsid w:val="00A03959"/>
    <w:rsid w:val="00A10002"/>
    <w:rsid w:val="00A14AD3"/>
    <w:rsid w:val="00A231E9"/>
    <w:rsid w:val="00A23B8E"/>
    <w:rsid w:val="00A25BC5"/>
    <w:rsid w:val="00A31977"/>
    <w:rsid w:val="00A35F76"/>
    <w:rsid w:val="00A36C6E"/>
    <w:rsid w:val="00A407AD"/>
    <w:rsid w:val="00A426AC"/>
    <w:rsid w:val="00A42F2E"/>
    <w:rsid w:val="00A4422F"/>
    <w:rsid w:val="00A44FF8"/>
    <w:rsid w:val="00A540AC"/>
    <w:rsid w:val="00A56A29"/>
    <w:rsid w:val="00A6180A"/>
    <w:rsid w:val="00A638EC"/>
    <w:rsid w:val="00A6504F"/>
    <w:rsid w:val="00A65CAD"/>
    <w:rsid w:val="00A72D8D"/>
    <w:rsid w:val="00A74B28"/>
    <w:rsid w:val="00A7519B"/>
    <w:rsid w:val="00A7520C"/>
    <w:rsid w:val="00A77AEA"/>
    <w:rsid w:val="00A95D14"/>
    <w:rsid w:val="00AB0D2A"/>
    <w:rsid w:val="00AB6DF4"/>
    <w:rsid w:val="00AC05FA"/>
    <w:rsid w:val="00AC4E1C"/>
    <w:rsid w:val="00AC6875"/>
    <w:rsid w:val="00AD2931"/>
    <w:rsid w:val="00AD3CF8"/>
    <w:rsid w:val="00AD6878"/>
    <w:rsid w:val="00AE0532"/>
    <w:rsid w:val="00AF3112"/>
    <w:rsid w:val="00AF71C2"/>
    <w:rsid w:val="00B02647"/>
    <w:rsid w:val="00B11650"/>
    <w:rsid w:val="00B11945"/>
    <w:rsid w:val="00B1787C"/>
    <w:rsid w:val="00B24EFA"/>
    <w:rsid w:val="00B25730"/>
    <w:rsid w:val="00B3159D"/>
    <w:rsid w:val="00B32E27"/>
    <w:rsid w:val="00B437A2"/>
    <w:rsid w:val="00B4414B"/>
    <w:rsid w:val="00B44BF2"/>
    <w:rsid w:val="00B55866"/>
    <w:rsid w:val="00B642D1"/>
    <w:rsid w:val="00B66A07"/>
    <w:rsid w:val="00B75EC9"/>
    <w:rsid w:val="00B768A4"/>
    <w:rsid w:val="00B77E52"/>
    <w:rsid w:val="00B857FA"/>
    <w:rsid w:val="00B930B0"/>
    <w:rsid w:val="00B93BBA"/>
    <w:rsid w:val="00B95658"/>
    <w:rsid w:val="00BA2A87"/>
    <w:rsid w:val="00BA3A72"/>
    <w:rsid w:val="00BA60FE"/>
    <w:rsid w:val="00BA6568"/>
    <w:rsid w:val="00BB0D92"/>
    <w:rsid w:val="00BB1CEE"/>
    <w:rsid w:val="00BB33F4"/>
    <w:rsid w:val="00BB63B5"/>
    <w:rsid w:val="00BB6D05"/>
    <w:rsid w:val="00BC66F3"/>
    <w:rsid w:val="00BD21E1"/>
    <w:rsid w:val="00BD2C9A"/>
    <w:rsid w:val="00BE4A2A"/>
    <w:rsid w:val="00BE7CE7"/>
    <w:rsid w:val="00C00B60"/>
    <w:rsid w:val="00C10253"/>
    <w:rsid w:val="00C126D5"/>
    <w:rsid w:val="00C1310F"/>
    <w:rsid w:val="00C14B2D"/>
    <w:rsid w:val="00C15C09"/>
    <w:rsid w:val="00C16FF5"/>
    <w:rsid w:val="00C210D0"/>
    <w:rsid w:val="00C21687"/>
    <w:rsid w:val="00C24D79"/>
    <w:rsid w:val="00C25F56"/>
    <w:rsid w:val="00C27569"/>
    <w:rsid w:val="00C330BE"/>
    <w:rsid w:val="00C37370"/>
    <w:rsid w:val="00C464D3"/>
    <w:rsid w:val="00C52AA4"/>
    <w:rsid w:val="00C56CB8"/>
    <w:rsid w:val="00C63104"/>
    <w:rsid w:val="00C64C29"/>
    <w:rsid w:val="00C670DD"/>
    <w:rsid w:val="00C73FBF"/>
    <w:rsid w:val="00C7591D"/>
    <w:rsid w:val="00C75EEE"/>
    <w:rsid w:val="00C775DE"/>
    <w:rsid w:val="00C8410E"/>
    <w:rsid w:val="00C8665C"/>
    <w:rsid w:val="00C956DC"/>
    <w:rsid w:val="00CA6052"/>
    <w:rsid w:val="00CA6964"/>
    <w:rsid w:val="00CB3CEC"/>
    <w:rsid w:val="00CC1F63"/>
    <w:rsid w:val="00CC2FF1"/>
    <w:rsid w:val="00CC4848"/>
    <w:rsid w:val="00CD48EF"/>
    <w:rsid w:val="00CD6890"/>
    <w:rsid w:val="00CE3875"/>
    <w:rsid w:val="00CE55D0"/>
    <w:rsid w:val="00CF7EC2"/>
    <w:rsid w:val="00D0207A"/>
    <w:rsid w:val="00D03C1E"/>
    <w:rsid w:val="00D03C45"/>
    <w:rsid w:val="00D116B7"/>
    <w:rsid w:val="00D12214"/>
    <w:rsid w:val="00D1379F"/>
    <w:rsid w:val="00D13890"/>
    <w:rsid w:val="00D15631"/>
    <w:rsid w:val="00D25513"/>
    <w:rsid w:val="00D27EF8"/>
    <w:rsid w:val="00D31D71"/>
    <w:rsid w:val="00D34642"/>
    <w:rsid w:val="00D368F5"/>
    <w:rsid w:val="00D4020C"/>
    <w:rsid w:val="00D40F67"/>
    <w:rsid w:val="00D604CB"/>
    <w:rsid w:val="00D6291F"/>
    <w:rsid w:val="00D62D89"/>
    <w:rsid w:val="00D769ED"/>
    <w:rsid w:val="00D82101"/>
    <w:rsid w:val="00D833F9"/>
    <w:rsid w:val="00D834E3"/>
    <w:rsid w:val="00D851E7"/>
    <w:rsid w:val="00D90408"/>
    <w:rsid w:val="00D9259B"/>
    <w:rsid w:val="00D96AE4"/>
    <w:rsid w:val="00DB1F44"/>
    <w:rsid w:val="00DB4C30"/>
    <w:rsid w:val="00DC1310"/>
    <w:rsid w:val="00DC2EE4"/>
    <w:rsid w:val="00DC41C8"/>
    <w:rsid w:val="00DC4AF3"/>
    <w:rsid w:val="00DC5A41"/>
    <w:rsid w:val="00DC718B"/>
    <w:rsid w:val="00DC721A"/>
    <w:rsid w:val="00DD016F"/>
    <w:rsid w:val="00DE337E"/>
    <w:rsid w:val="00E06512"/>
    <w:rsid w:val="00E10B7F"/>
    <w:rsid w:val="00E11B7E"/>
    <w:rsid w:val="00E14276"/>
    <w:rsid w:val="00E15959"/>
    <w:rsid w:val="00E15DE6"/>
    <w:rsid w:val="00E207C5"/>
    <w:rsid w:val="00E25037"/>
    <w:rsid w:val="00E3209B"/>
    <w:rsid w:val="00E37C3C"/>
    <w:rsid w:val="00E411EE"/>
    <w:rsid w:val="00E4212A"/>
    <w:rsid w:val="00E504A7"/>
    <w:rsid w:val="00E51985"/>
    <w:rsid w:val="00E52206"/>
    <w:rsid w:val="00E523A3"/>
    <w:rsid w:val="00E52880"/>
    <w:rsid w:val="00E621C5"/>
    <w:rsid w:val="00E6282B"/>
    <w:rsid w:val="00E63983"/>
    <w:rsid w:val="00E6420D"/>
    <w:rsid w:val="00E744EF"/>
    <w:rsid w:val="00E7567D"/>
    <w:rsid w:val="00E81580"/>
    <w:rsid w:val="00E82259"/>
    <w:rsid w:val="00E94DB8"/>
    <w:rsid w:val="00E94E08"/>
    <w:rsid w:val="00EA122F"/>
    <w:rsid w:val="00EA1E88"/>
    <w:rsid w:val="00EA25B3"/>
    <w:rsid w:val="00EA5915"/>
    <w:rsid w:val="00EA6D29"/>
    <w:rsid w:val="00EB08B2"/>
    <w:rsid w:val="00EB2F08"/>
    <w:rsid w:val="00EB30DF"/>
    <w:rsid w:val="00EC26CF"/>
    <w:rsid w:val="00EC65DF"/>
    <w:rsid w:val="00ED35AC"/>
    <w:rsid w:val="00ED69C5"/>
    <w:rsid w:val="00ED729F"/>
    <w:rsid w:val="00EE02FF"/>
    <w:rsid w:val="00EE0439"/>
    <w:rsid w:val="00EE51B1"/>
    <w:rsid w:val="00EF318F"/>
    <w:rsid w:val="00F0253E"/>
    <w:rsid w:val="00F03067"/>
    <w:rsid w:val="00F040C7"/>
    <w:rsid w:val="00F11955"/>
    <w:rsid w:val="00F230B7"/>
    <w:rsid w:val="00F241BE"/>
    <w:rsid w:val="00F3237D"/>
    <w:rsid w:val="00F46239"/>
    <w:rsid w:val="00F4708A"/>
    <w:rsid w:val="00F502F0"/>
    <w:rsid w:val="00F51352"/>
    <w:rsid w:val="00F52E59"/>
    <w:rsid w:val="00F60517"/>
    <w:rsid w:val="00F60D21"/>
    <w:rsid w:val="00F70950"/>
    <w:rsid w:val="00F72683"/>
    <w:rsid w:val="00F769E2"/>
    <w:rsid w:val="00F776F8"/>
    <w:rsid w:val="00F85EFF"/>
    <w:rsid w:val="00F956EB"/>
    <w:rsid w:val="00FA57AB"/>
    <w:rsid w:val="00FA7246"/>
    <w:rsid w:val="00FB5647"/>
    <w:rsid w:val="00FB6FFD"/>
    <w:rsid w:val="00FC058F"/>
    <w:rsid w:val="00FC19DA"/>
    <w:rsid w:val="00FC1CE6"/>
    <w:rsid w:val="00FD6C59"/>
    <w:rsid w:val="00FE108D"/>
    <w:rsid w:val="00FE341E"/>
    <w:rsid w:val="00FF0732"/>
    <w:rsid w:val="00FF0CB2"/>
    <w:rsid w:val="00FF23C8"/>
    <w:rsid w:val="00FF4289"/>
    <w:rsid w:val="00FF48EB"/>
    <w:rsid w:val="00FF54A9"/>
    <w:rsid w:val="00FF6420"/>
    <w:rsid w:val="00FF6B0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6D9A4"/>
  <w15:docId w15:val="{CFDCE3B2-3D80-4487-A62B-5706B8F04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237D"/>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E4212A"/>
    <w:pPr>
      <w:tabs>
        <w:tab w:val="center" w:pos="4536"/>
        <w:tab w:val="right" w:pos="9072"/>
      </w:tabs>
    </w:pPr>
  </w:style>
  <w:style w:type="character" w:customStyle="1" w:styleId="ZaglavljeChar">
    <w:name w:val="Zaglavlje Char"/>
    <w:basedOn w:val="Zadanifontodlomka"/>
    <w:link w:val="Zaglavlje"/>
    <w:uiPriority w:val="99"/>
    <w:rsid w:val="00E4212A"/>
  </w:style>
  <w:style w:type="paragraph" w:styleId="Podnoje">
    <w:name w:val="footer"/>
    <w:basedOn w:val="Normal"/>
    <w:link w:val="PodnojeChar"/>
    <w:uiPriority w:val="99"/>
    <w:unhideWhenUsed/>
    <w:rsid w:val="00E4212A"/>
    <w:pPr>
      <w:tabs>
        <w:tab w:val="center" w:pos="4536"/>
        <w:tab w:val="right" w:pos="9072"/>
      </w:tabs>
    </w:pPr>
  </w:style>
  <w:style w:type="character" w:customStyle="1" w:styleId="PodnojeChar">
    <w:name w:val="Podnožje Char"/>
    <w:basedOn w:val="Zadanifontodlomka"/>
    <w:link w:val="Podnoje"/>
    <w:uiPriority w:val="99"/>
    <w:rsid w:val="00E4212A"/>
  </w:style>
  <w:style w:type="table" w:styleId="Reetkatablice">
    <w:name w:val="Table Grid"/>
    <w:basedOn w:val="Obinatablica"/>
    <w:uiPriority w:val="59"/>
    <w:rsid w:val="00E94D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basedOn w:val="Normal"/>
    <w:link w:val="OdlomakpopisaChar"/>
    <w:uiPriority w:val="34"/>
    <w:qFormat/>
    <w:rsid w:val="00F230B7"/>
    <w:pPr>
      <w:ind w:left="720"/>
      <w:contextualSpacing/>
    </w:pPr>
  </w:style>
  <w:style w:type="paragraph" w:styleId="Tekstbalonia">
    <w:name w:val="Balloon Text"/>
    <w:basedOn w:val="Normal"/>
    <w:link w:val="TekstbaloniaChar"/>
    <w:uiPriority w:val="99"/>
    <w:semiHidden/>
    <w:unhideWhenUsed/>
    <w:rsid w:val="00A74B28"/>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A74B28"/>
    <w:rPr>
      <w:rFonts w:ascii="Segoe UI" w:hAnsi="Segoe UI" w:cs="Segoe UI"/>
      <w:sz w:val="18"/>
      <w:szCs w:val="18"/>
    </w:rPr>
  </w:style>
  <w:style w:type="character" w:styleId="Istaknuto">
    <w:name w:val="Emphasis"/>
    <w:qFormat/>
    <w:rsid w:val="00BB33F4"/>
    <w:rPr>
      <w:rFonts w:cs="Times New Roman"/>
      <w:i/>
      <w:iCs/>
    </w:rPr>
  </w:style>
  <w:style w:type="paragraph" w:styleId="StandardWeb">
    <w:name w:val="Normal (Web)"/>
    <w:basedOn w:val="Normal"/>
    <w:uiPriority w:val="99"/>
    <w:semiHidden/>
    <w:unhideWhenUsed/>
    <w:rsid w:val="005913F0"/>
    <w:pPr>
      <w:spacing w:before="100" w:beforeAutospacing="1" w:after="100" w:afterAutospacing="1"/>
    </w:pPr>
  </w:style>
  <w:style w:type="character" w:customStyle="1" w:styleId="OdlomakpopisaChar">
    <w:name w:val="Odlomak popisa Char"/>
    <w:link w:val="Odlomakpopisa"/>
    <w:uiPriority w:val="34"/>
    <w:locked/>
    <w:rsid w:val="007143FD"/>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82207990">
      <w:bodyDiv w:val="1"/>
      <w:marLeft w:val="0"/>
      <w:marRight w:val="0"/>
      <w:marTop w:val="0"/>
      <w:marBottom w:val="0"/>
      <w:divBdr>
        <w:top w:val="none" w:sz="0" w:space="0" w:color="auto"/>
        <w:left w:val="none" w:sz="0" w:space="0" w:color="auto"/>
        <w:bottom w:val="none" w:sz="0" w:space="0" w:color="auto"/>
        <w:right w:val="none" w:sz="0" w:space="0" w:color="auto"/>
      </w:divBdr>
    </w:div>
    <w:div w:id="1249771534">
      <w:bodyDiv w:val="1"/>
      <w:marLeft w:val="0"/>
      <w:marRight w:val="0"/>
      <w:marTop w:val="0"/>
      <w:marBottom w:val="0"/>
      <w:divBdr>
        <w:top w:val="none" w:sz="0" w:space="0" w:color="auto"/>
        <w:left w:val="none" w:sz="0" w:space="0" w:color="auto"/>
        <w:bottom w:val="none" w:sz="0" w:space="0" w:color="auto"/>
        <w:right w:val="none" w:sz="0" w:space="0" w:color="auto"/>
      </w:divBdr>
      <w:divsChild>
        <w:div w:id="1821993740">
          <w:marLeft w:val="0"/>
          <w:marRight w:val="0"/>
          <w:marTop w:val="0"/>
          <w:marBottom w:val="0"/>
          <w:divBdr>
            <w:top w:val="none" w:sz="0" w:space="0" w:color="auto"/>
            <w:left w:val="none" w:sz="0" w:space="0" w:color="auto"/>
            <w:bottom w:val="none" w:sz="0" w:space="0" w:color="auto"/>
            <w:right w:val="none" w:sz="0" w:space="0" w:color="auto"/>
          </w:divBdr>
        </w:div>
      </w:divsChild>
    </w:div>
    <w:div w:id="1517768063">
      <w:bodyDiv w:val="1"/>
      <w:marLeft w:val="0"/>
      <w:marRight w:val="0"/>
      <w:marTop w:val="0"/>
      <w:marBottom w:val="0"/>
      <w:divBdr>
        <w:top w:val="none" w:sz="0" w:space="0" w:color="auto"/>
        <w:left w:val="none" w:sz="0" w:space="0" w:color="auto"/>
        <w:bottom w:val="none" w:sz="0" w:space="0" w:color="auto"/>
        <w:right w:val="none" w:sz="0" w:space="0" w:color="auto"/>
      </w:divBdr>
    </w:div>
    <w:div w:id="1562402708">
      <w:bodyDiv w:val="1"/>
      <w:marLeft w:val="0"/>
      <w:marRight w:val="0"/>
      <w:marTop w:val="0"/>
      <w:marBottom w:val="0"/>
      <w:divBdr>
        <w:top w:val="none" w:sz="0" w:space="0" w:color="auto"/>
        <w:left w:val="none" w:sz="0" w:space="0" w:color="auto"/>
        <w:bottom w:val="none" w:sz="0" w:space="0" w:color="auto"/>
        <w:right w:val="none" w:sz="0" w:space="0" w:color="auto"/>
      </w:divBdr>
    </w:div>
    <w:div w:id="1887182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eader" Target="header3.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6A4991-7C6D-4D9D-852E-D08E7534D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3295</Words>
  <Characters>18788</Characters>
  <Application>Microsoft Office Word</Application>
  <DocSecurity>0</DocSecurity>
  <Lines>156</Lines>
  <Paragraphs>44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Andreja</dc:creator>
  <cp:lastModifiedBy>Andreja</cp:lastModifiedBy>
  <cp:revision>3</cp:revision>
  <cp:lastPrinted>2023-07-13T08:57:00Z</cp:lastPrinted>
  <dcterms:created xsi:type="dcterms:W3CDTF">2024-08-29T08:29:00Z</dcterms:created>
  <dcterms:modified xsi:type="dcterms:W3CDTF">2024-08-29T08:31:00Z</dcterms:modified>
</cp:coreProperties>
</file>