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9F86" w14:textId="04F91607" w:rsidR="00B1452C" w:rsidRPr="00F90DD8" w:rsidRDefault="0040396A" w:rsidP="00B1452C">
      <w:pPr>
        <w:rPr>
          <w:rFonts w:ascii="Times New Roman" w:hAnsi="Times New Roman" w:cs="Times New Roman"/>
          <w:color w:val="FF0000"/>
        </w:rPr>
      </w:pPr>
      <w:r w:rsidRPr="00F90DD8">
        <w:rPr>
          <w:rFonts w:ascii="Times New Roman" w:hAnsi="Times New Roman" w:cs="Times New Roman"/>
          <w:color w:val="FF0000"/>
        </w:rPr>
        <w:t xml:space="preserve">      </w:t>
      </w:r>
      <w:r w:rsidR="00C77F1D">
        <w:rPr>
          <w:rFonts w:ascii="Times New Roman" w:hAnsi="Times New Roman" w:cs="Times New Roman"/>
          <w:color w:val="FF0000"/>
        </w:rPr>
        <w:t xml:space="preserve">           </w:t>
      </w:r>
      <w:r w:rsidRPr="00F90DD8">
        <w:rPr>
          <w:rFonts w:ascii="Times New Roman" w:hAnsi="Times New Roman" w:cs="Times New Roman"/>
          <w:color w:val="FF0000"/>
        </w:rPr>
        <w:t xml:space="preserve">  </w:t>
      </w:r>
      <w:r w:rsidR="00C77F1D" w:rsidRPr="00A10EDC">
        <w:rPr>
          <w:noProof/>
        </w:rPr>
        <w:drawing>
          <wp:inline distT="0" distB="0" distL="0" distR="0" wp14:anchorId="11CD8A0B" wp14:editId="26B449CB">
            <wp:extent cx="485140" cy="652145"/>
            <wp:effectExtent l="0" t="0" r="0" b="0"/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D8">
        <w:rPr>
          <w:rFonts w:ascii="Times New Roman" w:hAnsi="Times New Roman" w:cs="Times New Roman"/>
          <w:color w:val="FF0000"/>
        </w:rPr>
        <w:t xml:space="preserve"> </w:t>
      </w:r>
      <w:r w:rsidR="002508AA" w:rsidRPr="00F90DD8">
        <w:rPr>
          <w:rFonts w:ascii="Times New Roman" w:hAnsi="Times New Roman" w:cs="Times New Roman"/>
          <w:color w:val="FF0000"/>
        </w:rPr>
        <w:t xml:space="preserve"> </w:t>
      </w:r>
      <w:r w:rsidR="00B1452C" w:rsidRPr="00F90DD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CFAA6C7" wp14:editId="0257FFB3">
            <wp:extent cx="728207" cy="624177"/>
            <wp:effectExtent l="0" t="0" r="0" b="5080"/>
            <wp:docPr id="1" name="Slika 2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1" cy="6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6F45" w14:textId="7408A8B3" w:rsidR="002508AA" w:rsidRPr="00F90DD8" w:rsidRDefault="002508AA" w:rsidP="0040396A">
      <w:pPr>
        <w:spacing w:after="0"/>
        <w:ind w:left="708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 xml:space="preserve">REPUBLIKA HRVATSKA </w:t>
      </w:r>
    </w:p>
    <w:p w14:paraId="02789A2A" w14:textId="77777777" w:rsidR="002508AA" w:rsidRPr="00F90DD8" w:rsidRDefault="002508AA" w:rsidP="002508AA">
      <w:pPr>
        <w:spacing w:after="0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>KOPRIVNIČKO-KRIŽEVAČKA ŽUPANIJA</w:t>
      </w:r>
    </w:p>
    <w:p w14:paraId="67BEE68B" w14:textId="6549C4F3" w:rsidR="002508AA" w:rsidRPr="00F90DD8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F90DD8">
        <w:rPr>
          <w:rFonts w:ascii="Times New Roman" w:hAnsi="Times New Roman" w:cs="Times New Roman"/>
          <w:b/>
        </w:rPr>
        <w:t xml:space="preserve">   </w:t>
      </w:r>
      <w:r w:rsidR="002508AA" w:rsidRPr="00F90DD8">
        <w:rPr>
          <w:rFonts w:ascii="Times New Roman" w:hAnsi="Times New Roman" w:cs="Times New Roman"/>
          <w:b/>
        </w:rPr>
        <w:t>OSNOVNA ŠKOLA „BRAĆA RADIĆ“</w:t>
      </w:r>
    </w:p>
    <w:p w14:paraId="456BF16E" w14:textId="2F60E64E" w:rsidR="002508AA" w:rsidRPr="00F90DD8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F90DD8">
        <w:rPr>
          <w:rFonts w:ascii="Times New Roman" w:hAnsi="Times New Roman" w:cs="Times New Roman"/>
          <w:b/>
        </w:rPr>
        <w:t xml:space="preserve">                    </w:t>
      </w:r>
      <w:r w:rsidR="002508AA" w:rsidRPr="00F90DD8">
        <w:rPr>
          <w:rFonts w:ascii="Times New Roman" w:hAnsi="Times New Roman" w:cs="Times New Roman"/>
          <w:b/>
        </w:rPr>
        <w:t>KOPRIVNICA</w:t>
      </w:r>
    </w:p>
    <w:p w14:paraId="0FD2C84D" w14:textId="77777777" w:rsidR="00F361E4" w:rsidRPr="00F90DD8" w:rsidRDefault="00F361E4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82187BF" w14:textId="2BD6607F" w:rsidR="00FE7828" w:rsidRPr="00D30748" w:rsidRDefault="00FE7828" w:rsidP="005B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Obrazloženje </w:t>
      </w:r>
      <w:r w:rsidR="00723444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I</w:t>
      </w:r>
      <w:r w:rsidR="00236EF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I. izmjena i dopuna </w:t>
      </w:r>
      <w:r w:rsidR="00432747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F</w:t>
      </w:r>
      <w:r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i</w:t>
      </w:r>
      <w:r w:rsidRPr="00D3074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nancijskog plana</w:t>
      </w:r>
      <w:r w:rsidR="00464122" w:rsidRPr="00D3074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Osnovne škole „Braća Radić“ Koprivnica</w:t>
      </w:r>
      <w:r w:rsidR="00756463" w:rsidRPr="00D3074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za 202</w:t>
      </w:r>
      <w:r w:rsidR="00640450" w:rsidRPr="00D3074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4</w:t>
      </w:r>
      <w:r w:rsidR="00756463" w:rsidRPr="00D3074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.</w:t>
      </w:r>
      <w:r w:rsidR="005E747A" w:rsidRPr="00D3074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g</w:t>
      </w:r>
      <w:r w:rsidR="00F32C69" w:rsidRPr="00D3074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odinu</w:t>
      </w:r>
    </w:p>
    <w:p w14:paraId="4DEAAC68" w14:textId="77777777" w:rsidR="00F361E4" w:rsidRPr="00D30748" w:rsidRDefault="00F361E4" w:rsidP="00F361E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878726C" w14:textId="4F9C727D" w:rsidR="00520B92" w:rsidRPr="00D30748" w:rsidRDefault="00FE447F" w:rsidP="00520B92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D30748">
        <w:rPr>
          <w:b/>
          <w:sz w:val="22"/>
          <w:szCs w:val="22"/>
        </w:rPr>
        <w:t>SADRŽAJ DJELOKRUGA RADA PRORAČUNSKOG KORISNIKA</w:t>
      </w:r>
    </w:p>
    <w:p w14:paraId="21BF16C9" w14:textId="77777777" w:rsidR="00520B92" w:rsidRPr="00D30748" w:rsidRDefault="00520B92" w:rsidP="00520B92">
      <w:pPr>
        <w:pStyle w:val="Odlomakpopisa"/>
        <w:ind w:left="720"/>
        <w:jc w:val="both"/>
        <w:rPr>
          <w:b/>
          <w:sz w:val="22"/>
          <w:szCs w:val="22"/>
        </w:rPr>
      </w:pPr>
    </w:p>
    <w:p w14:paraId="5493A60C" w14:textId="77777777" w:rsidR="002E4C09" w:rsidRPr="00D30748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D30748">
        <w:rPr>
          <w:rFonts w:ascii="Times New Roman" w:eastAsia="Times New Roman" w:hAnsi="Times New Roman" w:cs="Times New Roman"/>
          <w:lang w:eastAsia="hr-HR"/>
        </w:rPr>
        <w:t>Osnovna škola „Braća Radić“ MB: 3009556, OIB: 13567291238 ima predmet poslovanja – djelatnosti: odgoj i osnovno školovanje djece, osnovno školovanje za darovitu djecu i za djecu s teškoćama u razvoju prema posebno propisanim nastavnim planovima i programima, organizacija aktivnosti djece u sklopu različitih udruga te učeničkih klubova i društava.</w:t>
      </w:r>
    </w:p>
    <w:p w14:paraId="3F55F77F" w14:textId="5A4B8505" w:rsidR="002E4C09" w:rsidRPr="00D30748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D30748">
        <w:rPr>
          <w:rFonts w:ascii="Times New Roman" w:eastAsia="Times New Roman" w:hAnsi="Times New Roman" w:cs="Times New Roman"/>
          <w:lang w:eastAsia="hr-HR"/>
        </w:rPr>
        <w:t>Nastava je organizirana u dvije smjene. P</w:t>
      </w:r>
      <w:r w:rsidRPr="00D30748">
        <w:rPr>
          <w:rFonts w:ascii="Times New Roman" w:hAnsi="Times New Roman" w:cs="Times New Roman"/>
        </w:rPr>
        <w:t>rva smjena počinje u 8:00 h i završava u 13:10 h dok druga smjena počinje u 13:15 h i završava u 18:25 h.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 Nastava, redovna, izborna, dopunska i dodatna izvodi se prema nastavnim planovima i programima koje je donijelo 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 xml:space="preserve">Ministarstvo znanosti, obrazovanja i </w:t>
      </w:r>
      <w:r w:rsidR="00723444">
        <w:rPr>
          <w:rFonts w:ascii="Times New Roman" w:eastAsia="Times New Roman" w:hAnsi="Times New Roman" w:cs="Times New Roman"/>
          <w:lang w:eastAsia="hr-HR"/>
        </w:rPr>
        <w:t>mladih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30748">
        <w:rPr>
          <w:rFonts w:ascii="Times New Roman" w:eastAsia="Times New Roman" w:hAnsi="Times New Roman" w:cs="Times New Roman"/>
          <w:lang w:eastAsia="hr-HR"/>
        </w:rPr>
        <w:t>i Godišnjem  planu i programu rada škole.</w:t>
      </w:r>
    </w:p>
    <w:p w14:paraId="60049482" w14:textId="3108935B" w:rsidR="002E4C09" w:rsidRPr="00D30748" w:rsidRDefault="002E4C09" w:rsidP="007234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D30748">
        <w:rPr>
          <w:rFonts w:ascii="Times New Roman" w:eastAsia="Times New Roman" w:hAnsi="Times New Roman" w:cs="Times New Roman"/>
          <w:lang w:eastAsia="hr-HR"/>
        </w:rPr>
        <w:t>Matična škola u Koprivnici sagrađena je 1989. godine. U školskoj godini 202</w:t>
      </w:r>
      <w:r w:rsidR="00B20F19" w:rsidRPr="00D30748">
        <w:rPr>
          <w:rFonts w:ascii="Times New Roman" w:eastAsia="Times New Roman" w:hAnsi="Times New Roman" w:cs="Times New Roman"/>
          <w:lang w:eastAsia="hr-HR"/>
        </w:rPr>
        <w:t>3</w:t>
      </w:r>
      <w:r w:rsidRPr="00D30748">
        <w:rPr>
          <w:rFonts w:ascii="Times New Roman" w:eastAsia="Times New Roman" w:hAnsi="Times New Roman" w:cs="Times New Roman"/>
          <w:lang w:eastAsia="hr-HR"/>
        </w:rPr>
        <w:t>./202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4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. nastavu polazi 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775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učenika  u  36 razrednih  odjela. Školska zgrada u Starigradu sagrađena je 1954. godine, a nastava je organizirana za 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66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učenika  u 4 razredna odjela.</w:t>
      </w:r>
      <w:r w:rsidR="00723444" w:rsidRPr="00723444">
        <w:rPr>
          <w:rFonts w:ascii="Times New Roman" w:eastAsia="Times New Roman" w:hAnsi="Times New Roman" w:cs="Times New Roman"/>
          <w:lang w:eastAsia="hr-HR"/>
        </w:rPr>
        <w:t xml:space="preserve"> 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>U školskoj godini 202</w:t>
      </w:r>
      <w:r w:rsidR="00723444">
        <w:rPr>
          <w:rFonts w:ascii="Times New Roman" w:eastAsia="Times New Roman" w:hAnsi="Times New Roman" w:cs="Times New Roman"/>
          <w:lang w:eastAsia="hr-HR"/>
        </w:rPr>
        <w:t>4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>./202</w:t>
      </w:r>
      <w:r w:rsidR="00723444">
        <w:rPr>
          <w:rFonts w:ascii="Times New Roman" w:eastAsia="Times New Roman" w:hAnsi="Times New Roman" w:cs="Times New Roman"/>
          <w:lang w:eastAsia="hr-HR"/>
        </w:rPr>
        <w:t>5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 xml:space="preserve">. nastavu polazi </w:t>
      </w:r>
      <w:r w:rsidR="00723444">
        <w:rPr>
          <w:rFonts w:ascii="Times New Roman" w:eastAsia="Times New Roman" w:hAnsi="Times New Roman" w:cs="Times New Roman"/>
          <w:lang w:eastAsia="hr-HR"/>
        </w:rPr>
        <w:t xml:space="preserve">758 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>učenika  u  36 razrednih  odjela</w:t>
      </w:r>
      <w:r w:rsidR="00723444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 xml:space="preserve">a u Starigradu </w:t>
      </w:r>
      <w:r w:rsidR="00723444">
        <w:rPr>
          <w:rFonts w:ascii="Times New Roman" w:eastAsia="Times New Roman" w:hAnsi="Times New Roman" w:cs="Times New Roman"/>
          <w:lang w:eastAsia="hr-HR"/>
        </w:rPr>
        <w:t>je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 xml:space="preserve"> nastava organizirana za 6</w:t>
      </w:r>
      <w:r w:rsidR="00723444">
        <w:rPr>
          <w:rFonts w:ascii="Times New Roman" w:eastAsia="Times New Roman" w:hAnsi="Times New Roman" w:cs="Times New Roman"/>
          <w:lang w:eastAsia="hr-HR"/>
        </w:rPr>
        <w:t>0</w:t>
      </w:r>
      <w:r w:rsidR="00723444" w:rsidRPr="00F90DD8">
        <w:rPr>
          <w:rFonts w:ascii="Times New Roman" w:eastAsia="Times New Roman" w:hAnsi="Times New Roman" w:cs="Times New Roman"/>
          <w:lang w:eastAsia="hr-HR"/>
        </w:rPr>
        <w:t xml:space="preserve"> učenika  u 4 razredna odjela. 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Područna škola </w:t>
      </w:r>
      <w:proofErr w:type="spellStart"/>
      <w:r w:rsidRPr="00D30748">
        <w:rPr>
          <w:rFonts w:ascii="Times New Roman" w:eastAsia="Times New Roman" w:hAnsi="Times New Roman" w:cs="Times New Roman"/>
          <w:lang w:eastAsia="hr-HR"/>
        </w:rPr>
        <w:t>Bakovčica</w:t>
      </w:r>
      <w:proofErr w:type="spellEnd"/>
      <w:r w:rsidRPr="00D30748">
        <w:rPr>
          <w:rFonts w:ascii="Times New Roman" w:eastAsia="Times New Roman" w:hAnsi="Times New Roman" w:cs="Times New Roman"/>
          <w:lang w:eastAsia="hr-HR"/>
        </w:rPr>
        <w:t xml:space="preserve"> je 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darovnim ugovorom pripala našem Osnivaču Gradu Koprivnici u rujnu 2023. godine</w:t>
      </w:r>
      <w:r w:rsidR="00FC42B3" w:rsidRPr="00D30748">
        <w:rPr>
          <w:rFonts w:ascii="Times New Roman" w:eastAsia="Times New Roman" w:hAnsi="Times New Roman" w:cs="Times New Roman"/>
          <w:lang w:eastAsia="hr-HR"/>
        </w:rPr>
        <w:t>.</w:t>
      </w:r>
    </w:p>
    <w:p w14:paraId="2AC2231C" w14:textId="5AC7914E" w:rsidR="002E4C09" w:rsidRPr="00D30748" w:rsidRDefault="002E4C09" w:rsidP="007234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30748">
        <w:rPr>
          <w:rFonts w:ascii="Times New Roman" w:eastAsia="Times New Roman" w:hAnsi="Times New Roman" w:cs="Times New Roman"/>
          <w:lang w:eastAsia="hr-HR"/>
        </w:rPr>
        <w:t xml:space="preserve">       U Matičnoj školi rad se odvija u 25 učionica od kojih su 5 specijalizirane. Uz ove učionice nastava se odvija i u školskoj sportskoj dvorani, knjižnici i na sportskom igralištu. Područn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a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škol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a Starigrad</w:t>
      </w:r>
      <w:r w:rsidRPr="00D30748">
        <w:rPr>
          <w:rFonts w:ascii="Times New Roman" w:eastAsia="Times New Roman" w:hAnsi="Times New Roman" w:cs="Times New Roman"/>
          <w:lang w:eastAsia="hr-HR"/>
        </w:rPr>
        <w:t>, na žalost, nema sportsk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u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dvoran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u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ni odgovarajuć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e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sportsk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o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igrališt</w:t>
      </w:r>
      <w:r w:rsidR="000A4748" w:rsidRPr="00D30748">
        <w:rPr>
          <w:rFonts w:ascii="Times New Roman" w:eastAsia="Times New Roman" w:hAnsi="Times New Roman" w:cs="Times New Roman"/>
          <w:lang w:eastAsia="hr-HR"/>
        </w:rPr>
        <w:t>e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.   </w:t>
      </w:r>
    </w:p>
    <w:p w14:paraId="0B3F5780" w14:textId="37CD0535" w:rsidR="007325CE" w:rsidRDefault="007325CE" w:rsidP="0072344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30748">
        <w:rPr>
          <w:rFonts w:ascii="Times New Roman" w:hAnsi="Times New Roman" w:cs="Times New Roman"/>
        </w:rPr>
        <w:t>Osnovna škola „Braća Radić“ na početku šk. god. 2024./2025. broji 99 djelatnika, od toga 22 učitelja razredne nastave, 44 učitelja predmetne nastave, 4 stručna suradnika,11 pomoćnika u nastavi i 1 stručno komunikacijskog posrednika te 17 ostalih djelatnika. Imamo 1 učiteljicu savjetnicu, 4 učiteljice izvrsne savjetnice, 1 stručnu suradnicu izvrsnu savjetnicu, 4 učiteljice mentorice i 6 voditelja Županijskih stručnih vijeća (matematike, vjeronauka, engleskoga jezika, knjižnice, razredne nastave te ravnatelja osnovnih škola). Naknadno smo u listopadu zaposlili još jednog stručno komunikacijskog posrednika.</w:t>
      </w:r>
    </w:p>
    <w:p w14:paraId="4F4D8610" w14:textId="6C1CFC69" w:rsidR="00723444" w:rsidRDefault="00723444" w:rsidP="0072344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2F0C37DD" w14:textId="77777777" w:rsidR="00723444" w:rsidRPr="00D30748" w:rsidRDefault="00723444" w:rsidP="0072344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08B76DFE" w14:textId="1DAA71B6" w:rsidR="00121E6F" w:rsidRPr="00D30748" w:rsidRDefault="00121E6F" w:rsidP="00551208">
      <w:pPr>
        <w:pStyle w:val="Odlomakpopisa"/>
        <w:numPr>
          <w:ilvl w:val="0"/>
          <w:numId w:val="20"/>
        </w:numPr>
        <w:jc w:val="both"/>
        <w:rPr>
          <w:b/>
        </w:rPr>
      </w:pPr>
      <w:r w:rsidRPr="00D30748">
        <w:rPr>
          <w:b/>
        </w:rPr>
        <w:t>OBRAZLOŽENJE OPĆEG DIJELA FINANCIJSKOG PLANA</w:t>
      </w:r>
    </w:p>
    <w:p w14:paraId="1F7841E6" w14:textId="169BB7F7" w:rsidR="00121E6F" w:rsidRPr="00D30748" w:rsidRDefault="00121E6F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2AA1229" w14:textId="40395F24" w:rsidR="00836453" w:rsidRPr="00D30748" w:rsidRDefault="00836453" w:rsidP="00682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30748">
        <w:rPr>
          <w:rFonts w:ascii="Times New Roman" w:eastAsia="Times New Roman" w:hAnsi="Times New Roman" w:cs="Times New Roman"/>
          <w:b/>
          <w:bCs/>
          <w:lang w:eastAsia="hr-HR"/>
        </w:rPr>
        <w:t>OBRAZLOŽENJE PRIHODA/PRIMITAKA</w:t>
      </w:r>
    </w:p>
    <w:p w14:paraId="7403AFC8" w14:textId="77777777" w:rsidR="00682890" w:rsidRPr="00D30748" w:rsidRDefault="00682890" w:rsidP="00682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99B79D3" w14:textId="57883DEE" w:rsidR="00121E6F" w:rsidRPr="00D30748" w:rsidRDefault="00F056AA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30748">
        <w:rPr>
          <w:rFonts w:ascii="Times New Roman" w:eastAsia="Times New Roman" w:hAnsi="Times New Roman" w:cs="Times New Roman"/>
          <w:b/>
          <w:bCs/>
          <w:lang w:eastAsia="hr-HR"/>
        </w:rPr>
        <w:t>PRIHODI POSLOVANJA</w:t>
      </w:r>
    </w:p>
    <w:p w14:paraId="48307A59" w14:textId="77777777" w:rsidR="00F056AA" w:rsidRPr="00D30748" w:rsidRDefault="00F056AA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630054C" w14:textId="766C7361" w:rsidR="00B75460" w:rsidRPr="00D30748" w:rsidRDefault="00551208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30748">
        <w:rPr>
          <w:rFonts w:ascii="Times New Roman" w:eastAsia="Times New Roman" w:hAnsi="Times New Roman" w:cs="Times New Roman"/>
          <w:lang w:eastAsia="hr-HR"/>
        </w:rPr>
        <w:t>U I</w:t>
      </w:r>
      <w:r w:rsidR="00D30748" w:rsidRPr="00D30748">
        <w:rPr>
          <w:rFonts w:ascii="Times New Roman" w:eastAsia="Times New Roman" w:hAnsi="Times New Roman" w:cs="Times New Roman"/>
          <w:lang w:eastAsia="hr-HR"/>
        </w:rPr>
        <w:t>I</w:t>
      </w:r>
      <w:r w:rsidRPr="00D30748">
        <w:rPr>
          <w:rFonts w:ascii="Times New Roman" w:eastAsia="Times New Roman" w:hAnsi="Times New Roman" w:cs="Times New Roman"/>
          <w:lang w:eastAsia="hr-HR"/>
        </w:rPr>
        <w:t>. izmjena</w:t>
      </w:r>
      <w:r w:rsidR="00496C10">
        <w:rPr>
          <w:rFonts w:ascii="Times New Roman" w:eastAsia="Times New Roman" w:hAnsi="Times New Roman" w:cs="Times New Roman"/>
          <w:lang w:eastAsia="hr-HR"/>
        </w:rPr>
        <w:t>ma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i dopuna</w:t>
      </w:r>
      <w:r w:rsidR="00496C10">
        <w:rPr>
          <w:rFonts w:ascii="Times New Roman" w:eastAsia="Times New Roman" w:hAnsi="Times New Roman" w:cs="Times New Roman"/>
          <w:lang w:eastAsia="hr-HR"/>
        </w:rPr>
        <w:t>ma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Financijskog plana je ukupno </w:t>
      </w:r>
      <w:r w:rsidR="00D30748" w:rsidRPr="00D30748">
        <w:rPr>
          <w:rFonts w:ascii="Times New Roman" w:eastAsia="Times New Roman" w:hAnsi="Times New Roman" w:cs="Times New Roman"/>
          <w:lang w:eastAsia="hr-HR"/>
        </w:rPr>
        <w:t>smanjenje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prihoda za </w:t>
      </w:r>
      <w:r w:rsidR="00D30748" w:rsidRPr="00D30748">
        <w:rPr>
          <w:rFonts w:ascii="Times New Roman" w:eastAsia="Times New Roman" w:hAnsi="Times New Roman" w:cs="Times New Roman"/>
          <w:lang w:eastAsia="hr-HR"/>
        </w:rPr>
        <w:t>261.820,00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EUR te je nov</w:t>
      </w:r>
      <w:r w:rsidR="00496C10">
        <w:rPr>
          <w:rFonts w:ascii="Times New Roman" w:eastAsia="Times New Roman" w:hAnsi="Times New Roman" w:cs="Times New Roman"/>
          <w:lang w:eastAsia="hr-HR"/>
        </w:rPr>
        <w:t>i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plan 3.</w:t>
      </w:r>
      <w:r w:rsidR="00D30748" w:rsidRPr="00D30748">
        <w:rPr>
          <w:rFonts w:ascii="Times New Roman" w:eastAsia="Times New Roman" w:hAnsi="Times New Roman" w:cs="Times New Roman"/>
          <w:lang w:eastAsia="hr-HR"/>
        </w:rPr>
        <w:t>384.564,00</w:t>
      </w:r>
      <w:r w:rsidRPr="00D30748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1C202B6F" w14:textId="77777777" w:rsidR="00E36B98" w:rsidRPr="00D30748" w:rsidRDefault="00E36B98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DCBE53" w14:textId="0AD433A4" w:rsidR="00551208" w:rsidRPr="00D30748" w:rsidRDefault="00551208" w:rsidP="00D215A4">
      <w:pPr>
        <w:pStyle w:val="Naslov2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Minion Pro" w:eastAsia="Times New Roman" w:hAnsi="Minion Pro"/>
          <w:b w:val="0"/>
          <w:bCs w:val="0"/>
          <w:sz w:val="33"/>
          <w:szCs w:val="33"/>
        </w:rPr>
      </w:pPr>
      <w:r w:rsidRPr="00D30748">
        <w:rPr>
          <w:rFonts w:eastAsia="Times New Roman"/>
          <w:sz w:val="24"/>
          <w:szCs w:val="24"/>
        </w:rPr>
        <w:t>Skupina 63 Pomoći iz inozemstva i od subjekata unutar općeg proračuna</w:t>
      </w:r>
      <w:r w:rsidRPr="00D30748">
        <w:rPr>
          <w:rFonts w:eastAsia="Times New Roman"/>
          <w:b w:val="0"/>
          <w:bCs w:val="0"/>
          <w:sz w:val="24"/>
          <w:szCs w:val="24"/>
        </w:rPr>
        <w:t xml:space="preserve"> bilježi korekciju na 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>niže</w:t>
      </w:r>
      <w:r w:rsidRPr="00D30748">
        <w:rPr>
          <w:rFonts w:eastAsia="Times New Roman"/>
          <w:b w:val="0"/>
          <w:bCs w:val="0"/>
          <w:sz w:val="24"/>
          <w:szCs w:val="24"/>
        </w:rPr>
        <w:t xml:space="preserve"> u iznosu od 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 xml:space="preserve">215.920,00 </w:t>
      </w:r>
      <w:r w:rsidRPr="00D30748">
        <w:rPr>
          <w:rFonts w:eastAsia="Times New Roman"/>
          <w:b w:val="0"/>
          <w:bCs w:val="0"/>
          <w:sz w:val="24"/>
          <w:szCs w:val="24"/>
        </w:rPr>
        <w:t xml:space="preserve">EUR te ukupni plan iznosi 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>2.825.973,00</w:t>
      </w:r>
      <w:r w:rsidRPr="00D30748">
        <w:rPr>
          <w:rFonts w:eastAsia="Times New Roman"/>
          <w:b w:val="0"/>
          <w:bCs w:val="0"/>
          <w:sz w:val="24"/>
          <w:szCs w:val="24"/>
        </w:rPr>
        <w:t xml:space="preserve"> EUR. Najveće 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>smanjenje</w:t>
      </w:r>
      <w:r w:rsidRPr="00D30748">
        <w:rPr>
          <w:rFonts w:eastAsia="Times New Roman"/>
          <w:b w:val="0"/>
          <w:bCs w:val="0"/>
          <w:sz w:val="24"/>
          <w:szCs w:val="24"/>
        </w:rPr>
        <w:t xml:space="preserve"> od 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>229.720,00</w:t>
      </w:r>
      <w:r w:rsidRPr="00D30748">
        <w:rPr>
          <w:rFonts w:eastAsia="Times New Roman"/>
          <w:b w:val="0"/>
          <w:bCs w:val="0"/>
          <w:sz w:val="24"/>
          <w:szCs w:val="24"/>
        </w:rPr>
        <w:t xml:space="preserve"> EUR je na Aktivnosti COP za plaće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 xml:space="preserve"> i materijalna prava zaposlenika</w:t>
      </w:r>
      <w:r w:rsidR="00D30748">
        <w:rPr>
          <w:rFonts w:eastAsia="Times New Roman"/>
          <w:b w:val="0"/>
          <w:bCs w:val="0"/>
          <w:sz w:val="24"/>
          <w:szCs w:val="24"/>
        </w:rPr>
        <w:t xml:space="preserve">, a sukladno dosadašnjoj realizaciji. 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 xml:space="preserve">Veće povećanje od 10.438,00 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lastRenderedPageBreak/>
        <w:t>EUR je</w:t>
      </w:r>
      <w:r w:rsidR="00723444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>na plaćama za pomoćnike u nastavi</w:t>
      </w:r>
      <w:r w:rsidR="00723444">
        <w:rPr>
          <w:rFonts w:eastAsia="Times New Roman"/>
          <w:b w:val="0"/>
          <w:bCs w:val="0"/>
          <w:sz w:val="24"/>
          <w:szCs w:val="24"/>
        </w:rPr>
        <w:t xml:space="preserve"> u okviru ODJEKA VII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 xml:space="preserve"> jer je prema novom Pravilniku o pomoćnicima u nastavi i stručnim komunikacijskim posrednicima povećana njihova bruto satnica.</w:t>
      </w:r>
      <w:r w:rsidR="00D30748" w:rsidRPr="00D30748">
        <w:rPr>
          <w:rFonts w:eastAsia="Times New Roman"/>
        </w:rPr>
        <w:t xml:space="preserve"> </w:t>
      </w:r>
      <w:r w:rsidRPr="00D30748">
        <w:rPr>
          <w:rFonts w:eastAsia="Times New Roman"/>
          <w:b w:val="0"/>
          <w:bCs w:val="0"/>
          <w:sz w:val="24"/>
          <w:szCs w:val="24"/>
        </w:rPr>
        <w:t xml:space="preserve">Unutar skupine </w:t>
      </w:r>
      <w:r w:rsidR="00723444">
        <w:rPr>
          <w:rFonts w:eastAsia="Times New Roman"/>
          <w:b w:val="0"/>
          <w:bCs w:val="0"/>
          <w:sz w:val="24"/>
          <w:szCs w:val="24"/>
        </w:rPr>
        <w:t xml:space="preserve">63 </w:t>
      </w:r>
      <w:r w:rsidRPr="00D30748">
        <w:rPr>
          <w:rFonts w:eastAsia="Times New Roman"/>
          <w:b w:val="0"/>
          <w:bCs w:val="0"/>
          <w:sz w:val="24"/>
          <w:szCs w:val="24"/>
        </w:rPr>
        <w:t xml:space="preserve">se još knjiže i </w:t>
      </w:r>
      <w:r w:rsidR="00B20F19" w:rsidRPr="00D30748">
        <w:rPr>
          <w:rFonts w:eastAsia="Times New Roman"/>
          <w:b w:val="0"/>
          <w:bCs w:val="0"/>
          <w:sz w:val="24"/>
          <w:szCs w:val="24"/>
        </w:rPr>
        <w:t xml:space="preserve">prihodi za </w:t>
      </w:r>
      <w:r w:rsidRPr="00D30748">
        <w:rPr>
          <w:rFonts w:eastAsia="Times New Roman"/>
          <w:b w:val="0"/>
          <w:bCs w:val="0"/>
          <w:sz w:val="24"/>
          <w:szCs w:val="24"/>
        </w:rPr>
        <w:t>županijska natjecanja</w:t>
      </w:r>
      <w:r w:rsidR="00D30748" w:rsidRPr="00D30748">
        <w:rPr>
          <w:rFonts w:eastAsia="Times New Roman"/>
          <w:b w:val="0"/>
          <w:bCs w:val="0"/>
          <w:sz w:val="24"/>
          <w:szCs w:val="24"/>
        </w:rPr>
        <w:t xml:space="preserve">, </w:t>
      </w:r>
      <w:r w:rsidRPr="00D30748">
        <w:rPr>
          <w:b w:val="0"/>
          <w:bCs w:val="0"/>
          <w:sz w:val="24"/>
          <w:szCs w:val="24"/>
        </w:rPr>
        <w:t>shemu voća, udžbeni</w:t>
      </w:r>
      <w:r w:rsidR="00B20F19" w:rsidRPr="00D30748">
        <w:rPr>
          <w:b w:val="0"/>
          <w:bCs w:val="0"/>
          <w:sz w:val="24"/>
          <w:szCs w:val="24"/>
        </w:rPr>
        <w:t>ke</w:t>
      </w:r>
      <w:r w:rsidRPr="00D30748">
        <w:rPr>
          <w:b w:val="0"/>
          <w:bCs w:val="0"/>
          <w:sz w:val="24"/>
          <w:szCs w:val="24"/>
        </w:rPr>
        <w:t xml:space="preserve"> za učenike škole, knjige u školskoj knjižnici, </w:t>
      </w:r>
      <w:r w:rsidR="00B20F19" w:rsidRPr="00D30748">
        <w:rPr>
          <w:b w:val="0"/>
          <w:bCs w:val="0"/>
          <w:sz w:val="24"/>
          <w:szCs w:val="24"/>
        </w:rPr>
        <w:t>prihod za</w:t>
      </w:r>
      <w:r w:rsidRPr="00D30748">
        <w:rPr>
          <w:b w:val="0"/>
          <w:bCs w:val="0"/>
          <w:sz w:val="24"/>
          <w:szCs w:val="24"/>
        </w:rPr>
        <w:t xml:space="preserve"> </w:t>
      </w:r>
      <w:r w:rsidR="00B20F19" w:rsidRPr="00D30748">
        <w:rPr>
          <w:b w:val="0"/>
          <w:bCs w:val="0"/>
          <w:sz w:val="24"/>
          <w:szCs w:val="24"/>
        </w:rPr>
        <w:t xml:space="preserve">voditelje </w:t>
      </w:r>
      <w:r w:rsidRPr="00D30748">
        <w:rPr>
          <w:b w:val="0"/>
          <w:bCs w:val="0"/>
          <w:sz w:val="24"/>
          <w:szCs w:val="24"/>
        </w:rPr>
        <w:t>Županijskih stručnih vijeća  (6 voditelja),  EU projekt</w:t>
      </w:r>
      <w:r w:rsidR="00B20F19" w:rsidRPr="00D30748">
        <w:rPr>
          <w:b w:val="0"/>
          <w:bCs w:val="0"/>
          <w:sz w:val="24"/>
          <w:szCs w:val="24"/>
        </w:rPr>
        <w:t>e</w:t>
      </w:r>
      <w:r w:rsidRPr="00D30748">
        <w:rPr>
          <w:b w:val="0"/>
          <w:bCs w:val="0"/>
          <w:sz w:val="24"/>
          <w:szCs w:val="24"/>
        </w:rPr>
        <w:t xml:space="preserve"> i </w:t>
      </w:r>
      <w:r w:rsidR="00B20F19" w:rsidRPr="00D30748">
        <w:rPr>
          <w:b w:val="0"/>
          <w:bCs w:val="0"/>
          <w:sz w:val="24"/>
          <w:szCs w:val="24"/>
        </w:rPr>
        <w:t xml:space="preserve">za </w:t>
      </w:r>
      <w:r w:rsidRPr="00D30748">
        <w:rPr>
          <w:b w:val="0"/>
          <w:bCs w:val="0"/>
          <w:sz w:val="24"/>
          <w:szCs w:val="24"/>
        </w:rPr>
        <w:t>naknad</w:t>
      </w:r>
      <w:r w:rsidR="00B20F19" w:rsidRPr="00D30748">
        <w:rPr>
          <w:b w:val="0"/>
          <w:bCs w:val="0"/>
          <w:sz w:val="24"/>
          <w:szCs w:val="24"/>
        </w:rPr>
        <w:t>u</w:t>
      </w:r>
      <w:r w:rsidRPr="00D30748">
        <w:rPr>
          <w:b w:val="0"/>
          <w:bCs w:val="0"/>
          <w:sz w:val="24"/>
          <w:szCs w:val="24"/>
        </w:rPr>
        <w:t xml:space="preserve"> za  mentore</w:t>
      </w:r>
      <w:r w:rsidR="004100F9">
        <w:rPr>
          <w:b w:val="0"/>
          <w:bCs w:val="0"/>
          <w:sz w:val="24"/>
          <w:szCs w:val="24"/>
        </w:rPr>
        <w:t xml:space="preserve"> te je preraspodjela napravljena sukladno realizaciji te planu do kraja 2024. godine.</w:t>
      </w:r>
    </w:p>
    <w:p w14:paraId="5F7E7A8D" w14:textId="37D04E7B" w:rsidR="00551208" w:rsidRPr="003357F4" w:rsidRDefault="00551208" w:rsidP="005512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7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Skupina 65 Prihodi od upravnih i administrativnih pristojbi, pristojbi po posebnim propisima i naknada 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bilježi </w:t>
      </w:r>
      <w:r w:rsidR="00D30748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</w:t>
      </w:r>
      <w:r w:rsidR="00BF5529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D30748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1.028,00</w:t>
      </w:r>
      <w:r w:rsidR="00BF5529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najviše zbog 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manje realizacije nabave majica za učenike škole</w:t>
      </w:r>
      <w:r w:rsidR="000B1585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će financirati roditelji</w:t>
      </w:r>
      <w:r w:rsidR="00B20F19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B1585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je novi </w:t>
      </w:r>
      <w:r w:rsidR="00496C10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 w:rsidR="000B1585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20.103,00 </w:t>
      </w:r>
      <w:r w:rsidR="000B1585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EUR. 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Na toj skupini se knji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ži i o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siguranje učenika, </w:t>
      </w:r>
      <w:r w:rsidR="00B20F19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kotizacije za natjecanja, 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tableta</w:t>
      </w:r>
      <w:r w:rsidR="000B1585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drugog inventara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prijevoz na </w:t>
      </w:r>
      <w:proofErr w:type="spellStart"/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izvanučioničke</w:t>
      </w:r>
      <w:proofErr w:type="spellEnd"/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nastave…</w:t>
      </w:r>
    </w:p>
    <w:p w14:paraId="12304B91" w14:textId="10D983C0" w:rsidR="00551208" w:rsidRPr="007B6B32" w:rsidRDefault="00551208" w:rsidP="005512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7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Skupina 66 Prihodi od prodaje proizvoda i robe te pruženih usluga, prihoda od donacija… 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bilježi 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970,00 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 najvećim dijelom zbog </w:t>
      </w:r>
      <w:r w:rsidR="000B1585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ostvarenih vlastitih prihoda od najma dvorane za Renesansni festival te prodaje starog papira i baterija.</w:t>
      </w:r>
      <w:r w:rsidR="000B1585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toj skupini ostvarujemo prihode za pričuvu </w:t>
      </w:r>
      <w:r w:rsidR="00E71F23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struju 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za stan na Trgu E. Kumičića,</w:t>
      </w:r>
      <w:r w:rsidR="00822811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paušal za grijanje za jedan stan,</w:t>
      </w:r>
      <w:r w:rsidR="00E71F23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gorivo za prijevoz hrane u PŠ </w:t>
      </w:r>
      <w:proofErr w:type="spellStart"/>
      <w:r w:rsidR="00E71F23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Jagnjedovec</w:t>
      </w:r>
      <w:proofErr w:type="spellEnd"/>
      <w:r w:rsidR="00E71F23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uredski materijal, reprezentaciju, </w:t>
      </w:r>
      <w:r w:rsid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usluge za tekuće i </w:t>
      </w:r>
      <w:proofErr w:type="spellStart"/>
      <w:r w:rsid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inv</w:t>
      </w:r>
      <w:proofErr w:type="spellEnd"/>
      <w:r w:rsid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održavanje, </w:t>
      </w:r>
      <w:r w:rsidR="003357F4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>kupnju</w:t>
      </w:r>
      <w:r w:rsidR="000B1585" w:rsidRPr="00335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knjiga za </w:t>
      </w:r>
      <w:r w:rsidR="000B1585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školsku knjižnicu te prihode Zadruge Vretence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Ukupno je </w:t>
      </w:r>
      <w:r w:rsidR="00496C10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toj skupini </w:t>
      </w:r>
      <w:r w:rsidR="00723444">
        <w:rPr>
          <w:rFonts w:ascii="Times New Roman" w:eastAsia="Times New Roman" w:hAnsi="Times New Roman" w:cs="Times New Roman"/>
          <w:sz w:val="24"/>
          <w:szCs w:val="24"/>
          <w:lang w:eastAsia="hr-HR"/>
        </w:rPr>
        <w:t>17.476,00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</w:t>
      </w:r>
    </w:p>
    <w:p w14:paraId="24EAF4EC" w14:textId="5D121EA4" w:rsidR="00D215A4" w:rsidRPr="007B6B32" w:rsidRDefault="00551208" w:rsidP="00F962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B3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Skupina 67 Prihodi iz nadležnog proračuna i od HZZO-a temeljem ugovornih obveza 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bilježi </w:t>
      </w:r>
      <w:r w:rsidR="003357F4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</w:t>
      </w:r>
      <w:r w:rsidR="00723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3357F4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45.842,00</w:t>
      </w:r>
      <w:r w:rsidR="000B1585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7B6B32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te je nov</w:t>
      </w:r>
      <w:r w:rsidR="00496C1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u iznosu od </w:t>
      </w:r>
      <w:r w:rsidR="003357F4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521.012,00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0B1585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Najveće </w:t>
      </w:r>
      <w:r w:rsidR="003357F4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</w:t>
      </w:r>
      <w:r w:rsidR="000B1585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3357F4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35.942,00</w:t>
      </w:r>
      <w:r w:rsidR="000B1585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je u okviru </w:t>
      </w:r>
      <w:r w:rsidR="003357F4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Decentralizirane funkcije osnovnog školstva</w:t>
      </w:r>
      <w:r w:rsidR="000B1585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6B32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te u Aktivnosti Redovna djelatnost osnovnih škola u iznosu od 9.482,00 EUR.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okviru ove skupine </w:t>
      </w:r>
      <w:r w:rsidR="00383DB9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još </w:t>
      </w:r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financiraju i izvannastavne aktivnosti, međuopćinska natjecanja i nagrada </w:t>
      </w:r>
      <w:proofErr w:type="spellStart"/>
      <w:r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>najučitelju</w:t>
      </w:r>
      <w:proofErr w:type="spellEnd"/>
      <w:r w:rsidR="007B6B32" w:rsidRPr="007B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plaća za pomoćnike u nastavi.</w:t>
      </w:r>
    </w:p>
    <w:p w14:paraId="33F81B4B" w14:textId="77777777" w:rsidR="007B6B32" w:rsidRPr="007B6B32" w:rsidRDefault="007B6B32" w:rsidP="007B6B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BC5AC" w14:textId="77777777" w:rsidR="00492CCD" w:rsidRPr="007B6B32" w:rsidRDefault="00492CCD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39EEC1" w14:textId="61879D1D" w:rsidR="00836453" w:rsidRPr="007B6B32" w:rsidRDefault="00121E6F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B6B32">
        <w:rPr>
          <w:rFonts w:ascii="Times New Roman" w:eastAsia="Times New Roman" w:hAnsi="Times New Roman" w:cs="Times New Roman"/>
          <w:b/>
          <w:bCs/>
          <w:lang w:eastAsia="hr-HR"/>
        </w:rPr>
        <w:t>OBRAZLOŽENJE RASHODA I IZDATAKA</w:t>
      </w:r>
    </w:p>
    <w:p w14:paraId="2AA342CB" w14:textId="77777777" w:rsidR="00836453" w:rsidRPr="007B6B32" w:rsidRDefault="00836453" w:rsidP="0049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F33E94C" w14:textId="489C9FD9" w:rsidR="00836453" w:rsidRDefault="00836453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B6B32">
        <w:rPr>
          <w:rFonts w:ascii="Times New Roman" w:eastAsia="Times New Roman" w:hAnsi="Times New Roman" w:cs="Times New Roman"/>
          <w:b/>
          <w:bCs/>
          <w:lang w:eastAsia="hr-HR"/>
        </w:rPr>
        <w:t>RASHODI POSLOVANJA</w:t>
      </w:r>
    </w:p>
    <w:p w14:paraId="3BAD31EE" w14:textId="77777777" w:rsidR="00723444" w:rsidRPr="007B6B32" w:rsidRDefault="00723444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8356E39" w14:textId="24C2A39B" w:rsidR="000E27E8" w:rsidRPr="007B6B32" w:rsidRDefault="000E27E8" w:rsidP="000E27E8">
      <w:pPr>
        <w:jc w:val="both"/>
        <w:rPr>
          <w:rFonts w:ascii="Times New Roman" w:hAnsi="Times New Roman" w:cs="Times New Roman"/>
          <w:sz w:val="24"/>
          <w:szCs w:val="24"/>
        </w:rPr>
      </w:pPr>
      <w:r w:rsidRPr="007B6B32">
        <w:rPr>
          <w:rFonts w:ascii="Times New Roman" w:hAnsi="Times New Roman" w:cs="Times New Roman"/>
          <w:sz w:val="24"/>
          <w:szCs w:val="24"/>
        </w:rPr>
        <w:t>U I</w:t>
      </w:r>
      <w:r w:rsidR="007B6B32" w:rsidRPr="007B6B32">
        <w:rPr>
          <w:rFonts w:ascii="Times New Roman" w:hAnsi="Times New Roman" w:cs="Times New Roman"/>
          <w:sz w:val="24"/>
          <w:szCs w:val="24"/>
        </w:rPr>
        <w:t>I</w:t>
      </w:r>
      <w:r w:rsidRPr="007B6B32">
        <w:rPr>
          <w:rFonts w:ascii="Times New Roman" w:hAnsi="Times New Roman" w:cs="Times New Roman"/>
          <w:sz w:val="24"/>
          <w:szCs w:val="24"/>
        </w:rPr>
        <w:t>. Izmjena</w:t>
      </w:r>
      <w:r w:rsidR="00496C10">
        <w:rPr>
          <w:rFonts w:ascii="Times New Roman" w:hAnsi="Times New Roman" w:cs="Times New Roman"/>
          <w:sz w:val="24"/>
          <w:szCs w:val="24"/>
        </w:rPr>
        <w:t>ma</w:t>
      </w:r>
      <w:r w:rsidRPr="007B6B32">
        <w:rPr>
          <w:rFonts w:ascii="Times New Roman" w:hAnsi="Times New Roman" w:cs="Times New Roman"/>
          <w:sz w:val="24"/>
          <w:szCs w:val="24"/>
        </w:rPr>
        <w:t xml:space="preserve"> i dopuna</w:t>
      </w:r>
      <w:r w:rsidR="00496C10">
        <w:rPr>
          <w:rFonts w:ascii="Times New Roman" w:hAnsi="Times New Roman" w:cs="Times New Roman"/>
          <w:sz w:val="24"/>
          <w:szCs w:val="24"/>
        </w:rPr>
        <w:t>ma</w:t>
      </w:r>
      <w:r w:rsidRPr="007B6B32">
        <w:rPr>
          <w:rFonts w:ascii="Times New Roman" w:hAnsi="Times New Roman" w:cs="Times New Roman"/>
          <w:sz w:val="24"/>
          <w:szCs w:val="24"/>
        </w:rPr>
        <w:t xml:space="preserve"> Financijskog plana je ukupno </w:t>
      </w:r>
      <w:r w:rsidR="007B6B32" w:rsidRPr="007B6B32">
        <w:rPr>
          <w:rFonts w:ascii="Times New Roman" w:hAnsi="Times New Roman" w:cs="Times New Roman"/>
          <w:sz w:val="24"/>
          <w:szCs w:val="24"/>
        </w:rPr>
        <w:t>smanjenje</w:t>
      </w:r>
      <w:r w:rsidRPr="007B6B32">
        <w:rPr>
          <w:rFonts w:ascii="Times New Roman" w:hAnsi="Times New Roman" w:cs="Times New Roman"/>
          <w:sz w:val="24"/>
          <w:szCs w:val="24"/>
        </w:rPr>
        <w:t xml:space="preserve"> rashoda  </w:t>
      </w:r>
      <w:r w:rsidR="00D923AA" w:rsidRPr="007B6B32">
        <w:rPr>
          <w:rFonts w:ascii="Times New Roman" w:hAnsi="Times New Roman" w:cs="Times New Roman"/>
          <w:sz w:val="24"/>
          <w:szCs w:val="24"/>
        </w:rPr>
        <w:t xml:space="preserve">poslovanja </w:t>
      </w:r>
      <w:r w:rsidRPr="007B6B3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B6B32" w:rsidRPr="007B6B32">
        <w:rPr>
          <w:rFonts w:ascii="Times New Roman" w:hAnsi="Times New Roman" w:cs="Times New Roman"/>
          <w:sz w:val="24"/>
          <w:szCs w:val="24"/>
        </w:rPr>
        <w:t>216.895,00</w:t>
      </w:r>
      <w:r w:rsidRPr="007B6B32">
        <w:rPr>
          <w:rFonts w:ascii="Times New Roman" w:hAnsi="Times New Roman" w:cs="Times New Roman"/>
          <w:sz w:val="24"/>
          <w:szCs w:val="24"/>
        </w:rPr>
        <w:t xml:space="preserve"> EUR te ukupni plan iznosi </w:t>
      </w:r>
      <w:r w:rsidR="007B6B32" w:rsidRPr="007B6B32">
        <w:rPr>
          <w:rFonts w:ascii="Times New Roman" w:hAnsi="Times New Roman" w:cs="Times New Roman"/>
          <w:sz w:val="24"/>
          <w:szCs w:val="24"/>
        </w:rPr>
        <w:t>3.272.886,00</w:t>
      </w:r>
      <w:r w:rsidRPr="007B6B32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F0F5061" w14:textId="07EC57BB" w:rsidR="001F365F" w:rsidRPr="007B6B32" w:rsidRDefault="001F365F" w:rsidP="001F365F">
      <w:pPr>
        <w:pStyle w:val="Odlomakpopisa"/>
        <w:numPr>
          <w:ilvl w:val="0"/>
          <w:numId w:val="33"/>
        </w:numPr>
        <w:jc w:val="both"/>
      </w:pPr>
      <w:r w:rsidRPr="007B6B32">
        <w:rPr>
          <w:b/>
          <w:bCs/>
        </w:rPr>
        <w:t>Skupina 31 Rashodi za zaposlene</w:t>
      </w:r>
      <w:r w:rsidRPr="007B6B32">
        <w:t xml:space="preserve"> na koju se knjiže rashodi za sve zaposlene, uključujući i njihova materijalna prava iz kolektivnog ugovora,  bilježi </w:t>
      </w:r>
      <w:r w:rsidR="007B6B32" w:rsidRPr="007B6B32">
        <w:t>smanjenje</w:t>
      </w:r>
      <w:r w:rsidRPr="007B6B32">
        <w:t xml:space="preserve"> plana</w:t>
      </w:r>
      <w:r w:rsidR="0066001A">
        <w:t xml:space="preserve"> od 220.053,00 EUR te je ukupno plan na toj skupini</w:t>
      </w:r>
      <w:r w:rsidRPr="007B6B32">
        <w:t xml:space="preserve"> </w:t>
      </w:r>
      <w:r w:rsidR="007B6B32" w:rsidRPr="007B6B32">
        <w:t>2.588.586,00</w:t>
      </w:r>
      <w:r w:rsidRPr="007B6B32">
        <w:t xml:space="preserve"> EUR. Razlog </w:t>
      </w:r>
      <w:r w:rsidR="007B6B32" w:rsidRPr="007B6B32">
        <w:t>smanjenja je planiranje sukladno dosadašnjoj realizaciji</w:t>
      </w:r>
      <w:r w:rsidR="007B6B32">
        <w:t xml:space="preserve"> u okviru Aktivnosti COP (smanjenje od 230.400,00 EUR)</w:t>
      </w:r>
      <w:r w:rsidR="0066001A">
        <w:t>,</w:t>
      </w:r>
      <w:r w:rsidR="007B6B32">
        <w:t xml:space="preserve"> ODJEK VI (smanjenje od </w:t>
      </w:r>
      <w:r w:rsidR="0066001A">
        <w:t>4.106,00</w:t>
      </w:r>
      <w:r w:rsidR="007B6B32">
        <w:t xml:space="preserve"> EUR)</w:t>
      </w:r>
      <w:r w:rsidR="0066001A">
        <w:t xml:space="preserve"> te Slobodne aktivnosti i školska natjecanja (smanjenje od 189,00 EUR)</w:t>
      </w:r>
      <w:r w:rsidRPr="007B6B32">
        <w:t xml:space="preserve">. </w:t>
      </w:r>
      <w:r w:rsidR="007B6B32">
        <w:t xml:space="preserve">Jedino je povećanje rashoda </w:t>
      </w:r>
      <w:r w:rsidR="0066001A">
        <w:t xml:space="preserve">za zaposlene </w:t>
      </w:r>
      <w:r w:rsidR="007B6B32">
        <w:t xml:space="preserve">u okviru </w:t>
      </w:r>
      <w:r w:rsidR="007B6B32" w:rsidRPr="007B6B32">
        <w:t>Aktivnosti ODJEK VII zbog novog Pravilnika o pomoćnicima u nastavi i stručnim komunikacijskim posrednicima</w:t>
      </w:r>
      <w:r w:rsidR="007B6B32">
        <w:t xml:space="preserve"> (povećanje od </w:t>
      </w:r>
      <w:r w:rsidR="0066001A">
        <w:t>14.642</w:t>
      </w:r>
      <w:r w:rsidR="007B6B32">
        <w:t>,00 EUR)</w:t>
      </w:r>
      <w:r w:rsidR="007B6B32" w:rsidRPr="007B6B32">
        <w:t>.</w:t>
      </w:r>
      <w:r w:rsidR="007B6B32">
        <w:t xml:space="preserve"> </w:t>
      </w:r>
    </w:p>
    <w:p w14:paraId="598B4A77" w14:textId="20076806" w:rsidR="001F365F" w:rsidRPr="0066001A" w:rsidRDefault="001F365F" w:rsidP="001F365F">
      <w:pPr>
        <w:pStyle w:val="Odlomakpopisa"/>
        <w:numPr>
          <w:ilvl w:val="0"/>
          <w:numId w:val="25"/>
        </w:numPr>
        <w:jc w:val="both"/>
        <w:rPr>
          <w:b/>
          <w:iCs/>
        </w:rPr>
      </w:pPr>
      <w:r w:rsidRPr="0066001A">
        <w:rPr>
          <w:b/>
          <w:bCs/>
        </w:rPr>
        <w:t xml:space="preserve">Skupina 32 Materijalni rashodi </w:t>
      </w:r>
      <w:r w:rsidRPr="0066001A">
        <w:t xml:space="preserve">bilježi povećanje za </w:t>
      </w:r>
      <w:r w:rsidR="0066001A" w:rsidRPr="0066001A">
        <w:t>650,00</w:t>
      </w:r>
      <w:r w:rsidRPr="0066001A">
        <w:t xml:space="preserve"> EUR te je nov</w:t>
      </w:r>
      <w:r w:rsidR="00496C10">
        <w:t>i</w:t>
      </w:r>
      <w:r w:rsidRPr="0066001A">
        <w:t xml:space="preserve"> plan na toj skupini </w:t>
      </w:r>
      <w:r w:rsidR="0066001A" w:rsidRPr="0066001A">
        <w:t>644.634,00</w:t>
      </w:r>
      <w:r w:rsidRPr="0066001A">
        <w:t xml:space="preserve"> EUR. Skupina uključuje rashode koji nam služe za pokriće redovnog poslovanja (službena putovanja, stručna usavršavanja, uredski materijal, energija, tekuće i investicijsko održavanje, prijevoz učenika, zakupnine i najamnine, sitni inventar, reprezentacija,  komunalne i ostale usluge) kao i za pokriće rashoda u okviru županijskih natjecanja, prehrane učenika, ostalih rashoda za pomoćnike u nastavi, prijevoz na posao za sve zaposlenike, materijalne rashode u okviru aktivnosti Unapređenje standarda u školama, rashoda za EU projekte i rashoda za financiranje Učeničke zadruge Vretence. </w:t>
      </w:r>
      <w:r w:rsidR="0066001A" w:rsidRPr="0066001A">
        <w:t>Preraspodjela unutar skupine 32 je napravljena sukladno dosadašnjoj realizaciji te planom do kraja 2024. godine.</w:t>
      </w:r>
    </w:p>
    <w:p w14:paraId="4FB49E08" w14:textId="2A25D30A" w:rsidR="001F365F" w:rsidRDefault="001F365F" w:rsidP="001F365F">
      <w:pPr>
        <w:pStyle w:val="Odlomakpopisa"/>
        <w:numPr>
          <w:ilvl w:val="0"/>
          <w:numId w:val="25"/>
        </w:numPr>
        <w:jc w:val="both"/>
      </w:pPr>
      <w:r w:rsidRPr="00CE758B">
        <w:rPr>
          <w:b/>
          <w:bCs/>
        </w:rPr>
        <w:t xml:space="preserve">Skupina 34 Financijski rashodi </w:t>
      </w:r>
      <w:r w:rsidRPr="00CE758B">
        <w:t xml:space="preserve">ima </w:t>
      </w:r>
      <w:r w:rsidR="0066001A" w:rsidRPr="00CE758B">
        <w:t xml:space="preserve">plan </w:t>
      </w:r>
      <w:r w:rsidRPr="00CE758B">
        <w:t xml:space="preserve">od </w:t>
      </w:r>
      <w:r w:rsidR="0066001A" w:rsidRPr="00CE758B">
        <w:t xml:space="preserve">6,00 </w:t>
      </w:r>
      <w:r w:rsidRPr="00CE758B">
        <w:t>EUR</w:t>
      </w:r>
      <w:r w:rsidR="0066001A" w:rsidRPr="00CE758B">
        <w:t xml:space="preserve">, a na koju moramo </w:t>
      </w:r>
      <w:proofErr w:type="spellStart"/>
      <w:r w:rsidR="0066001A" w:rsidRPr="00CE758B">
        <w:t>preknjižiti</w:t>
      </w:r>
      <w:proofErr w:type="spellEnd"/>
      <w:r w:rsidR="0066001A" w:rsidRPr="00CE758B">
        <w:t xml:space="preserve"> bankarsku uslugu</w:t>
      </w:r>
      <w:r w:rsidR="00CE758B" w:rsidRPr="00CE758B">
        <w:t xml:space="preserve"> za kupovinu nadogradnje licence za raspored sati, a</w:t>
      </w:r>
      <w:r w:rsidR="0066001A" w:rsidRPr="00CE758B">
        <w:t xml:space="preserve"> koja je trenutno knjižena na ostalim uslugama.</w:t>
      </w:r>
      <w:r w:rsidRPr="00CE758B">
        <w:t xml:space="preserve"> </w:t>
      </w:r>
    </w:p>
    <w:p w14:paraId="75A08F53" w14:textId="5BDDC6C4" w:rsidR="00CE758B" w:rsidRPr="00CE758B" w:rsidRDefault="00CE758B" w:rsidP="001F365F">
      <w:pPr>
        <w:pStyle w:val="Odlomakpopisa"/>
        <w:numPr>
          <w:ilvl w:val="0"/>
          <w:numId w:val="25"/>
        </w:numPr>
        <w:jc w:val="both"/>
      </w:pPr>
      <w:r>
        <w:rPr>
          <w:b/>
          <w:bCs/>
        </w:rPr>
        <w:t xml:space="preserve">Skupina 37 Naknade građanima i kućanstvima na temelju osiguranja i druge naknade </w:t>
      </w:r>
      <w:r w:rsidRPr="00CE758B">
        <w:t>bilježe povećanje od 2.500,00 EUR jer smo knjižili veći trošak nabave udžbenika za učenike škole od planiranih. Jedan od razloga je i poskupljene udžbenika ove godine. Ukupno je plan na ovoj skupini 37.500,00 EUR.</w:t>
      </w:r>
    </w:p>
    <w:p w14:paraId="539A329E" w14:textId="423AAF00" w:rsidR="00E351A2" w:rsidRDefault="001F365F" w:rsidP="00E351A2">
      <w:pPr>
        <w:pStyle w:val="Odlomakpopisa"/>
        <w:numPr>
          <w:ilvl w:val="0"/>
          <w:numId w:val="25"/>
        </w:numPr>
        <w:jc w:val="both"/>
      </w:pPr>
      <w:r w:rsidRPr="00CE758B">
        <w:rPr>
          <w:b/>
          <w:bCs/>
        </w:rPr>
        <w:t>Skupin</w:t>
      </w:r>
      <w:r w:rsidR="00723444">
        <w:rPr>
          <w:b/>
          <w:bCs/>
        </w:rPr>
        <w:t>a</w:t>
      </w:r>
      <w:r w:rsidRPr="00CE758B">
        <w:rPr>
          <w:b/>
          <w:bCs/>
        </w:rPr>
        <w:t xml:space="preserve"> 3</w:t>
      </w:r>
      <w:r w:rsidR="00DC1965" w:rsidRPr="00CE758B">
        <w:rPr>
          <w:b/>
          <w:bCs/>
        </w:rPr>
        <w:t>8 Ostali rashodi</w:t>
      </w:r>
      <w:r w:rsidRPr="00CE758B">
        <w:rPr>
          <w:b/>
          <w:bCs/>
        </w:rPr>
        <w:t xml:space="preserve"> </w:t>
      </w:r>
      <w:r w:rsidR="00723444">
        <w:t>bilježi</w:t>
      </w:r>
      <w:r w:rsidRPr="00CE758B">
        <w:t xml:space="preserve"> </w:t>
      </w:r>
      <w:r w:rsidR="00E351A2" w:rsidRPr="00CE758B">
        <w:t>povećanje</w:t>
      </w:r>
      <w:r w:rsidRPr="00CE758B">
        <w:t xml:space="preserve"> za </w:t>
      </w:r>
      <w:r w:rsidR="00CE758B" w:rsidRPr="00CE758B">
        <w:t xml:space="preserve">2,00 </w:t>
      </w:r>
      <w:r w:rsidRPr="00CE758B">
        <w:t>EUR</w:t>
      </w:r>
      <w:r w:rsidR="00CE758B" w:rsidRPr="00CE758B">
        <w:t>, a na koju smo knjižili</w:t>
      </w:r>
      <w:r w:rsidRPr="00CE758B">
        <w:t xml:space="preserve"> </w:t>
      </w:r>
      <w:r w:rsidR="00CE758B" w:rsidRPr="00CE758B">
        <w:t xml:space="preserve">nabavu </w:t>
      </w:r>
      <w:r w:rsidR="00DC1965" w:rsidRPr="00CE758B">
        <w:t>menstrualnih potrepština za djevojčice škole</w:t>
      </w:r>
      <w:r w:rsidR="00CE758B" w:rsidRPr="00CE758B">
        <w:t xml:space="preserve">. Za tu namjenu smo dobili 1.800,00 EUR </w:t>
      </w:r>
      <w:r w:rsidR="00F07CFB" w:rsidRPr="00CE758B">
        <w:t>o</w:t>
      </w:r>
      <w:r w:rsidR="00DC1965" w:rsidRPr="00CE758B">
        <w:t>d Ministarstva rada, mirovinskoga sustava, obitelji i socijalne politike.</w:t>
      </w:r>
      <w:r w:rsidR="00CE758B" w:rsidRPr="00CE758B">
        <w:t xml:space="preserve"> Utrošili smo 1.800,43 EUR, što znači da 0,43 EUR pokrivamo dio iz vlastitih prihoda (0,21 EUR), a dio od ostatka donacije SPAZ-a (0,22 EUR).</w:t>
      </w:r>
    </w:p>
    <w:p w14:paraId="60585C0E" w14:textId="77777777" w:rsidR="00863AF0" w:rsidRPr="00863AF0" w:rsidRDefault="00863AF0" w:rsidP="00E351A2">
      <w:pPr>
        <w:pStyle w:val="Odlomakpopisa"/>
        <w:numPr>
          <w:ilvl w:val="0"/>
          <w:numId w:val="25"/>
        </w:numPr>
        <w:jc w:val="both"/>
      </w:pPr>
    </w:p>
    <w:p w14:paraId="5FC44AE1" w14:textId="7DE98DD8" w:rsidR="00E351A2" w:rsidRPr="00012DE0" w:rsidRDefault="00E351A2" w:rsidP="00E35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DE0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03F39DE5" w14:textId="3169679E" w:rsidR="00D923AA" w:rsidRDefault="00D923AA" w:rsidP="0072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E0">
        <w:rPr>
          <w:rFonts w:ascii="Times New Roman" w:hAnsi="Times New Roman" w:cs="Times New Roman"/>
          <w:sz w:val="24"/>
          <w:szCs w:val="24"/>
        </w:rPr>
        <w:t xml:space="preserve">U </w:t>
      </w:r>
      <w:r w:rsidR="00CE758B" w:rsidRPr="00012DE0">
        <w:rPr>
          <w:rFonts w:ascii="Times New Roman" w:hAnsi="Times New Roman" w:cs="Times New Roman"/>
          <w:sz w:val="24"/>
          <w:szCs w:val="24"/>
        </w:rPr>
        <w:t>I</w:t>
      </w:r>
      <w:r w:rsidRPr="00012DE0">
        <w:rPr>
          <w:rFonts w:ascii="Times New Roman" w:hAnsi="Times New Roman" w:cs="Times New Roman"/>
          <w:sz w:val="24"/>
          <w:szCs w:val="24"/>
        </w:rPr>
        <w:t>I. Izmjena</w:t>
      </w:r>
      <w:r w:rsidR="00496C10">
        <w:rPr>
          <w:rFonts w:ascii="Times New Roman" w:hAnsi="Times New Roman" w:cs="Times New Roman"/>
          <w:sz w:val="24"/>
          <w:szCs w:val="24"/>
        </w:rPr>
        <w:t>ma</w:t>
      </w:r>
      <w:r w:rsidRPr="00012DE0">
        <w:rPr>
          <w:rFonts w:ascii="Times New Roman" w:hAnsi="Times New Roman" w:cs="Times New Roman"/>
          <w:sz w:val="24"/>
          <w:szCs w:val="24"/>
        </w:rPr>
        <w:t xml:space="preserve"> i dopuna</w:t>
      </w:r>
      <w:r w:rsidR="00496C10">
        <w:rPr>
          <w:rFonts w:ascii="Times New Roman" w:hAnsi="Times New Roman" w:cs="Times New Roman"/>
          <w:sz w:val="24"/>
          <w:szCs w:val="24"/>
        </w:rPr>
        <w:t>ma</w:t>
      </w:r>
      <w:r w:rsidRPr="00012DE0">
        <w:rPr>
          <w:rFonts w:ascii="Times New Roman" w:hAnsi="Times New Roman" w:cs="Times New Roman"/>
          <w:sz w:val="24"/>
          <w:szCs w:val="24"/>
        </w:rPr>
        <w:t xml:space="preserve"> Financijskog plana je ukupno </w:t>
      </w:r>
      <w:r w:rsidR="00A941DF" w:rsidRPr="00012DE0">
        <w:rPr>
          <w:rFonts w:ascii="Times New Roman" w:hAnsi="Times New Roman" w:cs="Times New Roman"/>
          <w:sz w:val="24"/>
          <w:szCs w:val="24"/>
        </w:rPr>
        <w:t>smanjenje</w:t>
      </w:r>
      <w:r w:rsidRPr="00012DE0">
        <w:rPr>
          <w:rFonts w:ascii="Times New Roman" w:hAnsi="Times New Roman" w:cs="Times New Roman"/>
          <w:sz w:val="24"/>
          <w:szCs w:val="24"/>
        </w:rPr>
        <w:t xml:space="preserve"> rashoda za nabavu nefinancijske imovine u iznosu od </w:t>
      </w:r>
      <w:r w:rsidR="00A941DF" w:rsidRPr="00012DE0">
        <w:rPr>
          <w:rFonts w:ascii="Times New Roman" w:hAnsi="Times New Roman" w:cs="Times New Roman"/>
          <w:sz w:val="24"/>
          <w:szCs w:val="24"/>
        </w:rPr>
        <w:t>44.924,00</w:t>
      </w:r>
      <w:r w:rsidRPr="00012DE0">
        <w:rPr>
          <w:rFonts w:ascii="Times New Roman" w:hAnsi="Times New Roman" w:cs="Times New Roman"/>
          <w:sz w:val="24"/>
          <w:szCs w:val="24"/>
        </w:rPr>
        <w:t xml:space="preserve"> EUR te ukupni plan iznosi </w:t>
      </w:r>
      <w:r w:rsidR="004115E6" w:rsidRPr="00012DE0">
        <w:rPr>
          <w:rFonts w:ascii="Times New Roman" w:hAnsi="Times New Roman" w:cs="Times New Roman"/>
          <w:sz w:val="24"/>
          <w:szCs w:val="24"/>
        </w:rPr>
        <w:t>66.779,00</w:t>
      </w:r>
      <w:r w:rsidRPr="00012DE0">
        <w:rPr>
          <w:rFonts w:ascii="Times New Roman" w:hAnsi="Times New Roman" w:cs="Times New Roman"/>
          <w:sz w:val="24"/>
          <w:szCs w:val="24"/>
        </w:rPr>
        <w:t xml:space="preserve"> EUR</w:t>
      </w:r>
      <w:r w:rsidR="00723444">
        <w:rPr>
          <w:rFonts w:ascii="Times New Roman" w:hAnsi="Times New Roman" w:cs="Times New Roman"/>
          <w:sz w:val="24"/>
          <w:szCs w:val="24"/>
        </w:rPr>
        <w:t>.</w:t>
      </w:r>
    </w:p>
    <w:p w14:paraId="2521EFFA" w14:textId="77777777" w:rsidR="00723444" w:rsidRPr="00012DE0" w:rsidRDefault="00723444" w:rsidP="0072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84D17" w14:textId="7AC2233E" w:rsidR="001F365F" w:rsidRPr="00012DE0" w:rsidRDefault="001F365F" w:rsidP="00012DE0">
      <w:pPr>
        <w:pStyle w:val="Odlomakpopisa"/>
        <w:numPr>
          <w:ilvl w:val="0"/>
          <w:numId w:val="25"/>
        </w:numPr>
        <w:jc w:val="both"/>
      </w:pPr>
      <w:r w:rsidRPr="00012DE0">
        <w:rPr>
          <w:b/>
          <w:bCs/>
        </w:rPr>
        <w:t xml:space="preserve">Skupina 42 Rashodi za nabavu proizvedene dugotrajne imovine </w:t>
      </w:r>
      <w:r w:rsidRPr="00012DE0">
        <w:t xml:space="preserve">bilježi </w:t>
      </w:r>
      <w:r w:rsidR="004115E6" w:rsidRPr="00012DE0">
        <w:t>povećanje</w:t>
      </w:r>
      <w:r w:rsidR="00DC1965" w:rsidRPr="00012DE0">
        <w:t xml:space="preserve"> od </w:t>
      </w:r>
      <w:r w:rsidR="004115E6" w:rsidRPr="00012DE0">
        <w:t>27.568,00</w:t>
      </w:r>
      <w:r w:rsidR="00DC1965" w:rsidRPr="00012DE0">
        <w:t xml:space="preserve"> EUR</w:t>
      </w:r>
      <w:r w:rsidRPr="00012DE0">
        <w:t xml:space="preserve"> te ukupno iznosi </w:t>
      </w:r>
      <w:r w:rsidR="004115E6" w:rsidRPr="00012DE0">
        <w:t>57.297,00</w:t>
      </w:r>
      <w:r w:rsidRPr="00012DE0">
        <w:t xml:space="preserve">EUR. </w:t>
      </w:r>
    </w:p>
    <w:p w14:paraId="1397FFE6" w14:textId="77777777" w:rsidR="004115E6" w:rsidRPr="00012DE0" w:rsidRDefault="00E351A2" w:rsidP="00012DE0">
      <w:pPr>
        <w:pStyle w:val="Odlomakpopisa"/>
        <w:numPr>
          <w:ilvl w:val="0"/>
          <w:numId w:val="25"/>
        </w:numPr>
        <w:jc w:val="both"/>
      </w:pPr>
      <w:r w:rsidRPr="00012DE0">
        <w:rPr>
          <w:b/>
          <w:bCs/>
        </w:rPr>
        <w:t xml:space="preserve">Skupina 45 Rashodi za dodatna ulaganja na nefinancijskoj imovini </w:t>
      </w:r>
      <w:r w:rsidRPr="00012DE0">
        <w:t xml:space="preserve">bilježi </w:t>
      </w:r>
      <w:r w:rsidR="004115E6" w:rsidRPr="00012DE0">
        <w:t>smanjenje od 72.492,00</w:t>
      </w:r>
      <w:r w:rsidRPr="00012DE0">
        <w:t xml:space="preserve"> EUR</w:t>
      </w:r>
      <w:r w:rsidR="004115E6" w:rsidRPr="00012DE0">
        <w:t xml:space="preserve"> te iznosi 9.482,00 EUR. </w:t>
      </w:r>
    </w:p>
    <w:p w14:paraId="0CB6A6D1" w14:textId="2E2F7886" w:rsidR="00E351A2" w:rsidRPr="00012DE0" w:rsidRDefault="004115E6" w:rsidP="00012DE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DE0">
        <w:rPr>
          <w:rFonts w:ascii="Times New Roman" w:hAnsi="Times New Roman" w:cs="Times New Roman"/>
          <w:sz w:val="24"/>
          <w:szCs w:val="24"/>
        </w:rPr>
        <w:t xml:space="preserve">S obzirom da nismo uspjeli realizirati nabavu </w:t>
      </w:r>
      <w:r w:rsidR="00012DE0" w:rsidRPr="00302476">
        <w:rPr>
          <w:rFonts w:ascii="Times New Roman" w:hAnsi="Times New Roman" w:cs="Times New Roman"/>
          <w:i/>
          <w:iCs/>
          <w:sz w:val="24"/>
          <w:szCs w:val="24"/>
        </w:rPr>
        <w:t>Rekonstrukcija sanitarija faza I</w:t>
      </w:r>
      <w:r w:rsidR="00012DE0" w:rsidRPr="00012DE0">
        <w:rPr>
          <w:rFonts w:ascii="Times New Roman" w:hAnsi="Times New Roman" w:cs="Times New Roman"/>
          <w:sz w:val="24"/>
          <w:szCs w:val="24"/>
        </w:rPr>
        <w:t xml:space="preserve"> u</w:t>
      </w:r>
      <w:r w:rsidRPr="00012DE0">
        <w:rPr>
          <w:rFonts w:ascii="Times New Roman" w:hAnsi="Times New Roman" w:cs="Times New Roman"/>
          <w:sz w:val="24"/>
          <w:szCs w:val="24"/>
        </w:rPr>
        <w:t xml:space="preserve"> MŠ jer je ponuda izvođača bila prevelika, dio od tih sredstava je</w:t>
      </w:r>
      <w:r w:rsidR="00012DE0" w:rsidRPr="00012DE0">
        <w:rPr>
          <w:rFonts w:ascii="Times New Roman" w:hAnsi="Times New Roman" w:cs="Times New Roman"/>
          <w:sz w:val="24"/>
          <w:szCs w:val="24"/>
        </w:rPr>
        <w:t xml:space="preserve"> pre</w:t>
      </w:r>
      <w:r w:rsidRPr="00012DE0">
        <w:rPr>
          <w:rFonts w:ascii="Times New Roman" w:hAnsi="Times New Roman" w:cs="Times New Roman"/>
          <w:sz w:val="24"/>
          <w:szCs w:val="24"/>
        </w:rPr>
        <w:t>usmjeren na skupinu 42 gdje je nabavljeno 12 klima uređaja, traktorska kosilica</w:t>
      </w:r>
      <w:r w:rsidR="00012DE0" w:rsidRPr="00012DE0">
        <w:rPr>
          <w:rFonts w:ascii="Times New Roman" w:hAnsi="Times New Roman" w:cs="Times New Roman"/>
          <w:sz w:val="24"/>
          <w:szCs w:val="24"/>
        </w:rPr>
        <w:t>,</w:t>
      </w:r>
      <w:r w:rsidRPr="00012DE0">
        <w:rPr>
          <w:rFonts w:ascii="Times New Roman" w:hAnsi="Times New Roman" w:cs="Times New Roman"/>
          <w:sz w:val="24"/>
          <w:szCs w:val="24"/>
        </w:rPr>
        <w:t xml:space="preserve"> usisavači za spremačice</w:t>
      </w:r>
      <w:r w:rsidR="00012DE0" w:rsidRPr="00012DE0">
        <w:rPr>
          <w:rFonts w:ascii="Times New Roman" w:hAnsi="Times New Roman" w:cs="Times New Roman"/>
          <w:sz w:val="24"/>
          <w:szCs w:val="24"/>
        </w:rPr>
        <w:t xml:space="preserve"> te računalo za pedagoginju</w:t>
      </w:r>
      <w:r w:rsidRPr="00012DE0">
        <w:rPr>
          <w:rFonts w:ascii="Times New Roman" w:hAnsi="Times New Roman" w:cs="Times New Roman"/>
          <w:sz w:val="24"/>
          <w:szCs w:val="24"/>
        </w:rPr>
        <w:t>.</w:t>
      </w:r>
      <w:r w:rsidR="00E351A2" w:rsidRPr="00012DE0">
        <w:rPr>
          <w:rFonts w:ascii="Times New Roman" w:hAnsi="Times New Roman" w:cs="Times New Roman"/>
          <w:sz w:val="24"/>
          <w:szCs w:val="24"/>
        </w:rPr>
        <w:t xml:space="preserve"> </w:t>
      </w:r>
      <w:r w:rsidRPr="00012DE0">
        <w:rPr>
          <w:rFonts w:ascii="Times New Roman" w:hAnsi="Times New Roman" w:cs="Times New Roman"/>
          <w:sz w:val="24"/>
          <w:szCs w:val="24"/>
        </w:rPr>
        <w:t xml:space="preserve">Ostatak </w:t>
      </w:r>
      <w:r w:rsidR="00012DE0" w:rsidRPr="00012DE0">
        <w:rPr>
          <w:rFonts w:ascii="Times New Roman" w:hAnsi="Times New Roman" w:cs="Times New Roman"/>
          <w:sz w:val="24"/>
          <w:szCs w:val="24"/>
        </w:rPr>
        <w:t xml:space="preserve">od skupine 45 koji je ostao u planu </w:t>
      </w:r>
      <w:r w:rsidRPr="00012DE0">
        <w:rPr>
          <w:rFonts w:ascii="Times New Roman" w:hAnsi="Times New Roman" w:cs="Times New Roman"/>
          <w:sz w:val="24"/>
          <w:szCs w:val="24"/>
        </w:rPr>
        <w:t xml:space="preserve">je </w:t>
      </w:r>
      <w:r w:rsidR="00012DE0" w:rsidRPr="00012DE0">
        <w:rPr>
          <w:rFonts w:ascii="Times New Roman" w:hAnsi="Times New Roman" w:cs="Times New Roman"/>
          <w:sz w:val="24"/>
          <w:szCs w:val="24"/>
        </w:rPr>
        <w:t>realiziran</w:t>
      </w:r>
      <w:r w:rsidRPr="00012DE0">
        <w:rPr>
          <w:rFonts w:ascii="Times New Roman" w:hAnsi="Times New Roman" w:cs="Times New Roman"/>
          <w:sz w:val="24"/>
          <w:szCs w:val="24"/>
        </w:rPr>
        <w:t xml:space="preserve"> za</w:t>
      </w:r>
      <w:r w:rsidR="00E351A2" w:rsidRPr="00012DE0">
        <w:rPr>
          <w:rFonts w:ascii="Times New Roman" w:hAnsi="Times New Roman" w:cs="Times New Roman"/>
          <w:sz w:val="24"/>
          <w:szCs w:val="24"/>
        </w:rPr>
        <w:t xml:space="preserve"> projekt za obnovu </w:t>
      </w:r>
      <w:r w:rsidRPr="00012DE0">
        <w:rPr>
          <w:rFonts w:ascii="Times New Roman" w:hAnsi="Times New Roman" w:cs="Times New Roman"/>
          <w:sz w:val="24"/>
          <w:szCs w:val="24"/>
        </w:rPr>
        <w:t xml:space="preserve">vodovoda i kanalizacije te za </w:t>
      </w:r>
      <w:r w:rsidR="00E351A2" w:rsidRPr="00012DE0">
        <w:rPr>
          <w:rFonts w:ascii="Times New Roman" w:hAnsi="Times New Roman" w:cs="Times New Roman"/>
          <w:sz w:val="24"/>
          <w:szCs w:val="24"/>
        </w:rPr>
        <w:t xml:space="preserve"> priključak mreže na elektroenergetsku distribucijsku mrežu zbog pripajanja solarnih kolektora na dvorani škole</w:t>
      </w:r>
      <w:r w:rsidR="00012DE0" w:rsidRPr="00012DE0">
        <w:rPr>
          <w:rFonts w:ascii="Times New Roman" w:hAnsi="Times New Roman" w:cs="Times New Roman"/>
          <w:sz w:val="24"/>
          <w:szCs w:val="24"/>
        </w:rPr>
        <w:t>. Od skupine 42 koji je planiran, realizirana je nabava televizora, namještaja, JBL zvučnika za PŠ Starigrad, projekcijskog platna, seta za video konferencije, udžbenika za učenike škole te knjiga za školsku knjižnicu.</w:t>
      </w:r>
    </w:p>
    <w:p w14:paraId="765CF4A0" w14:textId="77777777" w:rsidR="00836453" w:rsidRPr="00641C44" w:rsidRDefault="00836453" w:rsidP="00492CCD">
      <w:pPr>
        <w:pStyle w:val="Odlomakpopisa"/>
        <w:ind w:left="720"/>
        <w:jc w:val="both"/>
        <w:rPr>
          <w:color w:val="FF0000"/>
        </w:rPr>
      </w:pPr>
    </w:p>
    <w:p w14:paraId="4FBFF3B9" w14:textId="3B04DF1B" w:rsidR="00121E6F" w:rsidRPr="00641C44" w:rsidRDefault="00B75460" w:rsidP="0040396A">
      <w:pPr>
        <w:pStyle w:val="Odlomakpopisa"/>
        <w:numPr>
          <w:ilvl w:val="0"/>
          <w:numId w:val="20"/>
        </w:numPr>
        <w:jc w:val="both"/>
        <w:rPr>
          <w:b/>
          <w:iCs/>
        </w:rPr>
      </w:pPr>
      <w:r w:rsidRPr="00641C44">
        <w:rPr>
          <w:b/>
          <w:iCs/>
        </w:rPr>
        <w:t>OBRAZLOŽENJE PRENESENOG MANJKA ODNOSNO VIŠKA FINANCIJSKOG PLANA</w:t>
      </w:r>
    </w:p>
    <w:p w14:paraId="7719DC1C" w14:textId="77777777" w:rsidR="006D6361" w:rsidRPr="00AF3D11" w:rsidRDefault="006D6361" w:rsidP="006D6361">
      <w:pPr>
        <w:pStyle w:val="Odlomakpopisa"/>
        <w:ind w:left="720"/>
        <w:jc w:val="both"/>
        <w:rPr>
          <w:b/>
          <w:iCs/>
          <w:sz w:val="22"/>
          <w:szCs w:val="22"/>
        </w:rPr>
      </w:pPr>
    </w:p>
    <w:p w14:paraId="70993356" w14:textId="38D062BF" w:rsidR="00302476" w:rsidRPr="00AF3D11" w:rsidRDefault="006D6361" w:rsidP="00863AF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 w:rsidRPr="00AF3D11">
        <w:rPr>
          <w:rFonts w:ascii="Times New Roman" w:hAnsi="Times New Roman" w:cs="Times New Roman"/>
          <w:bCs/>
          <w:iCs/>
        </w:rPr>
        <w:t>U I</w:t>
      </w:r>
      <w:r w:rsidR="00302476">
        <w:rPr>
          <w:rFonts w:ascii="Times New Roman" w:hAnsi="Times New Roman" w:cs="Times New Roman"/>
          <w:bCs/>
          <w:iCs/>
        </w:rPr>
        <w:t>I</w:t>
      </w:r>
      <w:r w:rsidRPr="00AF3D11">
        <w:rPr>
          <w:rFonts w:ascii="Times New Roman" w:hAnsi="Times New Roman" w:cs="Times New Roman"/>
          <w:bCs/>
          <w:iCs/>
        </w:rPr>
        <w:t>. izmjene i dopune Financijskog plana uvršteni su viškovi i manjkovi po godišnjem obračunu i utvrđena je njihova namjena te način pokrića kako slijedi:</w:t>
      </w:r>
    </w:p>
    <w:p w14:paraId="3D888EB9" w14:textId="77777777" w:rsidR="006D6361" w:rsidRPr="00AF3D11" w:rsidRDefault="006D6361" w:rsidP="00C6372C">
      <w:pPr>
        <w:spacing w:after="0"/>
        <w:ind w:firstLine="708"/>
        <w:jc w:val="both"/>
        <w:rPr>
          <w:rFonts w:ascii="Times New Roman" w:hAnsi="Times New Roman" w:cs="Times New Roman"/>
          <w:b/>
          <w:iCs/>
        </w:rPr>
      </w:pPr>
      <w:r w:rsidRPr="00AF3D11">
        <w:rPr>
          <w:rFonts w:ascii="Times New Roman" w:hAnsi="Times New Roman" w:cs="Times New Roman"/>
          <w:b/>
          <w:iCs/>
        </w:rPr>
        <w:t>Viškovi:</w:t>
      </w:r>
    </w:p>
    <w:p w14:paraId="65BFC246" w14:textId="77777777" w:rsidR="00302476" w:rsidRDefault="006D6361" w:rsidP="003024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Od viška prihoda 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za posebne namjene (</w:t>
      </w:r>
      <w:r w:rsidRPr="00AF3D11">
        <w:rPr>
          <w:rFonts w:ascii="Times New Roman" w:eastAsia="Times New Roman" w:hAnsi="Times New Roman" w:cs="Times New Roman"/>
          <w:lang w:eastAsia="hr-HR"/>
        </w:rPr>
        <w:t>od školske kuhinje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)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u iznosu od </w:t>
      </w:r>
      <w:r w:rsidRPr="00AF3D11">
        <w:rPr>
          <w:rFonts w:ascii="Times New Roman" w:hAnsi="Times New Roman" w:cs="Times New Roman"/>
        </w:rPr>
        <w:t xml:space="preserve">576,07 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EUR planiramo financirati nabavu opreme za školsku kuhinju- </w:t>
      </w:r>
      <w:proofErr w:type="spellStart"/>
      <w:r w:rsidRPr="00AF3D11">
        <w:rPr>
          <w:rFonts w:ascii="Times New Roman" w:eastAsia="Times New Roman" w:hAnsi="Times New Roman" w:cs="Times New Roman"/>
          <w:lang w:eastAsia="hr-HR"/>
        </w:rPr>
        <w:t>gulilicu</w:t>
      </w:r>
      <w:proofErr w:type="spellEnd"/>
      <w:r w:rsidRPr="00AF3D11">
        <w:rPr>
          <w:rFonts w:ascii="Times New Roman" w:eastAsia="Times New Roman" w:hAnsi="Times New Roman" w:cs="Times New Roman"/>
          <w:lang w:eastAsia="hr-HR"/>
        </w:rPr>
        <w:t xml:space="preserve"> krumpira.</w:t>
      </w:r>
    </w:p>
    <w:p w14:paraId="3AD83410" w14:textId="0987615C" w:rsidR="006D6361" w:rsidRPr="00302476" w:rsidRDefault="00302476" w:rsidP="003024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Višak prihoda za posebne namjene, skupljenih od roditelja za popravke tableta, u iznosu od </w:t>
      </w:r>
      <w:r w:rsidRPr="00AF3D11">
        <w:rPr>
          <w:rFonts w:ascii="Times New Roman" w:hAnsi="Times New Roman" w:cs="Times New Roman"/>
        </w:rPr>
        <w:t>431,13 EUR planiramo iskoristiti za tu namjenu.</w:t>
      </w:r>
    </w:p>
    <w:p w14:paraId="13521006" w14:textId="2DF94B6B" w:rsidR="006D6361" w:rsidRDefault="006D6361" w:rsidP="006D6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>Od viška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 xml:space="preserve"> vlastitih prihoda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od najma stanova i skupljenog starog papira u iznosu od </w:t>
      </w:r>
      <w:r w:rsidRPr="00AF3D11">
        <w:rPr>
          <w:rFonts w:ascii="Times New Roman" w:hAnsi="Times New Roman" w:cs="Times New Roman"/>
        </w:rPr>
        <w:t xml:space="preserve">396,16 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EUR planiramo kupiti knjige za školsku knjižnicu </w:t>
      </w:r>
    </w:p>
    <w:p w14:paraId="4FCF1F9D" w14:textId="1C9E317E" w:rsidR="00863AF0" w:rsidRPr="00863AF0" w:rsidRDefault="00863AF0" w:rsidP="00863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Višak vlastitih prihoda zadruge „Vretence“ u iznosu od </w:t>
      </w:r>
      <w:r w:rsidRPr="00AF3D11">
        <w:rPr>
          <w:rFonts w:ascii="Times New Roman" w:hAnsi="Times New Roman" w:cs="Times New Roman"/>
        </w:rPr>
        <w:t xml:space="preserve">267,80 EUR planiramo utrošiti </w:t>
      </w:r>
      <w:r>
        <w:rPr>
          <w:rFonts w:ascii="Times New Roman" w:hAnsi="Times New Roman" w:cs="Times New Roman"/>
        </w:rPr>
        <w:t>z</w:t>
      </w:r>
      <w:r w:rsidRPr="00AF3D11">
        <w:rPr>
          <w:rFonts w:ascii="Times New Roman" w:hAnsi="Times New Roman" w:cs="Times New Roman"/>
        </w:rPr>
        <w:t>a rad Zadruge.</w:t>
      </w:r>
    </w:p>
    <w:p w14:paraId="4E3D7139" w14:textId="7E3F61AD" w:rsidR="006D6361" w:rsidRPr="00AF3D11" w:rsidRDefault="006D6361" w:rsidP="006D6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Od viška 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prihoda od nenadležnog proračuna za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Županijsk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a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stručn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a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vijeća u iznosu od </w:t>
      </w:r>
      <w:r w:rsidRPr="00AF3D11">
        <w:rPr>
          <w:rFonts w:ascii="Times New Roman" w:hAnsi="Times New Roman" w:cs="Times New Roman"/>
        </w:rPr>
        <w:t xml:space="preserve">2.480,61 </w:t>
      </w:r>
      <w:r w:rsidRPr="00AF3D11">
        <w:rPr>
          <w:rFonts w:ascii="Times New Roman" w:eastAsia="Times New Roman" w:hAnsi="Times New Roman" w:cs="Times New Roman"/>
          <w:lang w:eastAsia="hr-HR"/>
        </w:rPr>
        <w:t>EUR i dalje planiramo financirati njihov rad.</w:t>
      </w:r>
    </w:p>
    <w:p w14:paraId="4E101AF8" w14:textId="0B697470" w:rsidR="00D215A4" w:rsidRPr="00863AF0" w:rsidRDefault="006D6361" w:rsidP="00D21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1C44">
        <w:rPr>
          <w:rFonts w:ascii="Times New Roman" w:hAnsi="Times New Roman" w:cs="Times New Roman"/>
          <w:sz w:val="24"/>
          <w:szCs w:val="24"/>
        </w:rPr>
        <w:t>Višak prihoda od nenadležnog proračun u iznosu od 757,31 EUR, planiramo namjenski utrošiti za nabavu testova za psihologa</w:t>
      </w:r>
      <w:r w:rsidR="00863AF0">
        <w:rPr>
          <w:rFonts w:ascii="Times New Roman" w:hAnsi="Times New Roman" w:cs="Times New Roman"/>
          <w:sz w:val="24"/>
          <w:szCs w:val="24"/>
        </w:rPr>
        <w:t>.</w:t>
      </w:r>
    </w:p>
    <w:p w14:paraId="4225AF97" w14:textId="37902545" w:rsidR="00863AF0" w:rsidRPr="00863AF0" w:rsidRDefault="00863AF0" w:rsidP="00863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Višak prihoda od donacija u iznosu od </w:t>
      </w:r>
      <w:r w:rsidRPr="00AF3D11">
        <w:rPr>
          <w:rFonts w:ascii="Times New Roman" w:hAnsi="Times New Roman" w:cs="Times New Roman"/>
        </w:rPr>
        <w:t>24,84 EUR koje je učiteljica njemačkog jezika DF dobila iz projekta „Moja regija, moj grad“, planiramo utrošiti na literaturu na njemačkom jeziku.</w:t>
      </w:r>
    </w:p>
    <w:p w14:paraId="0922A941" w14:textId="691468E9" w:rsidR="006D6361" w:rsidRPr="00AF3D11" w:rsidRDefault="006D6361" w:rsidP="00C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F3D11">
        <w:rPr>
          <w:rFonts w:ascii="Times New Roman" w:eastAsia="Times New Roman" w:hAnsi="Times New Roman" w:cs="Times New Roman"/>
          <w:b/>
          <w:bCs/>
          <w:lang w:eastAsia="hr-HR"/>
        </w:rPr>
        <w:t>Manjkovi:</w:t>
      </w:r>
    </w:p>
    <w:p w14:paraId="11C3E993" w14:textId="1E54D1AA" w:rsidR="006D6361" w:rsidRPr="00AF3D11" w:rsidRDefault="006D6361" w:rsidP="006D6361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AF3D11">
        <w:rPr>
          <w:sz w:val="22"/>
          <w:szCs w:val="22"/>
        </w:rPr>
        <w:t xml:space="preserve">Metodološki manjak iz </w:t>
      </w:r>
      <w:r w:rsidR="00E113A0" w:rsidRPr="00AF3D11">
        <w:rPr>
          <w:sz w:val="22"/>
          <w:szCs w:val="22"/>
        </w:rPr>
        <w:t>izvora opći prihodi i primici sastoji se od manjka od -5.702,03 EUR (za plaće pomoćnika u nastavi i neplaćene račune iz 2023. godine) te od manjka od -11.175,32 EUR (decentralizacija školstvo - za neplaćene račune iz 2023. godine), a</w:t>
      </w:r>
      <w:r w:rsidRPr="00AF3D11">
        <w:rPr>
          <w:sz w:val="22"/>
          <w:szCs w:val="22"/>
        </w:rPr>
        <w:t xml:space="preserve"> </w:t>
      </w:r>
      <w:r w:rsidR="00E113A0" w:rsidRPr="00AF3D11">
        <w:rPr>
          <w:noProof/>
          <w:sz w:val="22"/>
          <w:szCs w:val="22"/>
        </w:rPr>
        <w:t>pokrit će se u trenutku plaćanja obveza u siječnju 2024. godine</w:t>
      </w:r>
      <w:r w:rsidR="000B38CD">
        <w:rPr>
          <w:noProof/>
          <w:sz w:val="22"/>
          <w:szCs w:val="22"/>
        </w:rPr>
        <w:t xml:space="preserve"> te isplate plaće pomoćnicima u nastavi.</w:t>
      </w:r>
      <w:r w:rsidR="00E113A0" w:rsidRPr="00AF3D11">
        <w:rPr>
          <w:noProof/>
          <w:sz w:val="22"/>
          <w:szCs w:val="22"/>
        </w:rPr>
        <w:t>.</w:t>
      </w:r>
    </w:p>
    <w:p w14:paraId="4DC93E5C" w14:textId="36FC1CA2" w:rsidR="00E113A0" w:rsidRPr="00AF3D11" w:rsidRDefault="006D6361" w:rsidP="006D6361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AF3D11">
        <w:rPr>
          <w:sz w:val="22"/>
          <w:szCs w:val="22"/>
        </w:rPr>
        <w:t xml:space="preserve">Manjak </w:t>
      </w:r>
      <w:r w:rsidR="00E113A0" w:rsidRPr="00AF3D11">
        <w:rPr>
          <w:sz w:val="22"/>
          <w:szCs w:val="22"/>
        </w:rPr>
        <w:t xml:space="preserve">iz izvora pomoći </w:t>
      </w:r>
      <w:r w:rsidR="00476421" w:rsidRPr="00AF3D11">
        <w:rPr>
          <w:sz w:val="22"/>
          <w:szCs w:val="22"/>
        </w:rPr>
        <w:t xml:space="preserve">unutar općeg proračuna – Grad Koprivnica </w:t>
      </w:r>
      <w:r w:rsidR="00E113A0" w:rsidRPr="00AF3D11">
        <w:rPr>
          <w:sz w:val="22"/>
          <w:szCs w:val="22"/>
        </w:rPr>
        <w:t>se sastoji od iznosa -844,3</w:t>
      </w:r>
      <w:r w:rsidR="00454568" w:rsidRPr="00AF3D11">
        <w:rPr>
          <w:sz w:val="22"/>
          <w:szCs w:val="22"/>
        </w:rPr>
        <w:t xml:space="preserve">7 EUR (za plaću pomoćnika u nastavi), -604,01 EUR (za račun od sheme voća), -9.186,48 EUR (za pokriće računa iz 2023. godine) i 117,00 EUR (za pokriće računa za nabavu NFI iz 2023. godine). Manjkovi će se </w:t>
      </w:r>
      <w:r w:rsidR="00454568" w:rsidRPr="00AF3D11">
        <w:rPr>
          <w:noProof/>
          <w:sz w:val="22"/>
          <w:szCs w:val="22"/>
        </w:rPr>
        <w:t>pokriti u trenutku plaćanja obveza u siječnju 2024. godine</w:t>
      </w:r>
      <w:r w:rsidR="00641C44" w:rsidRPr="00AF3D11">
        <w:rPr>
          <w:noProof/>
          <w:sz w:val="22"/>
          <w:szCs w:val="22"/>
        </w:rPr>
        <w:t xml:space="preserve"> tj. u trenutku isplate plaće pomoćnicima u nastavi.</w:t>
      </w:r>
    </w:p>
    <w:p w14:paraId="4E64D088" w14:textId="499DD55B" w:rsidR="00E113A0" w:rsidRPr="00AF3D11" w:rsidRDefault="00454568" w:rsidP="00B11C0A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AF3D11">
        <w:rPr>
          <w:noProof/>
          <w:sz w:val="22"/>
          <w:szCs w:val="22"/>
        </w:rPr>
        <w:t>Manjak iz izvora pomoći unutar općeg proračuna EU projekti – Grad Koprivnica</w:t>
      </w:r>
      <w:r w:rsidR="00ED6260" w:rsidRPr="00AF3D11">
        <w:rPr>
          <w:noProof/>
          <w:sz w:val="22"/>
          <w:szCs w:val="22"/>
        </w:rPr>
        <w:t xml:space="preserve"> u iznosu od 4.676,52 EUR </w:t>
      </w:r>
      <w:r w:rsidR="00C3584A" w:rsidRPr="00AF3D11">
        <w:rPr>
          <w:noProof/>
          <w:sz w:val="22"/>
          <w:szCs w:val="22"/>
        </w:rPr>
        <w:t xml:space="preserve">za plaću pomoćnika u nastavi </w:t>
      </w:r>
      <w:r w:rsidR="00ED6260" w:rsidRPr="00AF3D11">
        <w:rPr>
          <w:noProof/>
          <w:sz w:val="22"/>
          <w:szCs w:val="22"/>
        </w:rPr>
        <w:t xml:space="preserve">pokrit će se u trenutku </w:t>
      </w:r>
      <w:r w:rsidR="00C3584A" w:rsidRPr="00AF3D11">
        <w:rPr>
          <w:noProof/>
          <w:sz w:val="22"/>
          <w:szCs w:val="22"/>
        </w:rPr>
        <w:t>isplate plaće u siječnju 2024. godine.</w:t>
      </w:r>
    </w:p>
    <w:p w14:paraId="3C496D6D" w14:textId="00E33D56" w:rsidR="00E36B98" w:rsidRPr="00D215A4" w:rsidRDefault="006D6361" w:rsidP="00D215A4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AF3D11">
        <w:rPr>
          <w:sz w:val="22"/>
          <w:szCs w:val="22"/>
        </w:rPr>
        <w:t xml:space="preserve">Manjak </w:t>
      </w:r>
      <w:r w:rsidR="00454568" w:rsidRPr="00AF3D11">
        <w:rPr>
          <w:sz w:val="22"/>
          <w:szCs w:val="22"/>
        </w:rPr>
        <w:t>iz izvora pomoći unutar općeg proračuna – Proračunski korisnici sastoji se od manjka od 521,</w:t>
      </w:r>
      <w:r w:rsidR="00476421" w:rsidRPr="00AF3D11">
        <w:rPr>
          <w:sz w:val="22"/>
          <w:szCs w:val="22"/>
        </w:rPr>
        <w:t>4</w:t>
      </w:r>
      <w:r w:rsidR="00454568" w:rsidRPr="00AF3D11">
        <w:rPr>
          <w:sz w:val="22"/>
          <w:szCs w:val="22"/>
        </w:rPr>
        <w:t>4 EUR</w:t>
      </w:r>
      <w:r w:rsidRPr="00AF3D11">
        <w:rPr>
          <w:sz w:val="22"/>
          <w:szCs w:val="22"/>
        </w:rPr>
        <w:t xml:space="preserve"> za trošak parničnog postupka </w:t>
      </w:r>
      <w:r w:rsidR="00454568" w:rsidRPr="00AF3D11">
        <w:rPr>
          <w:sz w:val="22"/>
          <w:szCs w:val="22"/>
        </w:rPr>
        <w:t xml:space="preserve">te manjka od </w:t>
      </w:r>
      <w:r w:rsidR="00476421" w:rsidRPr="00AF3D11">
        <w:rPr>
          <w:sz w:val="22"/>
          <w:szCs w:val="22"/>
        </w:rPr>
        <w:t xml:space="preserve">17.118,19 EUR od </w:t>
      </w:r>
      <w:r w:rsidR="00454568" w:rsidRPr="00AF3D11">
        <w:rPr>
          <w:sz w:val="22"/>
          <w:szCs w:val="22"/>
        </w:rPr>
        <w:t xml:space="preserve">nenadležnog proračuna za namirnice za školsku kuhinju koji će se </w:t>
      </w:r>
      <w:r w:rsidR="00454568" w:rsidRPr="00AF3D11">
        <w:rPr>
          <w:noProof/>
          <w:sz w:val="22"/>
          <w:szCs w:val="22"/>
        </w:rPr>
        <w:t>pokriti u trenutku priljeva sredstava od MZO-a.</w:t>
      </w:r>
    </w:p>
    <w:p w14:paraId="3014033E" w14:textId="4F099087" w:rsidR="00641C44" w:rsidRPr="00AF3D11" w:rsidRDefault="00641C44" w:rsidP="00D215A4">
      <w:pPr>
        <w:spacing w:line="240" w:lineRule="auto"/>
        <w:ind w:firstLine="360"/>
        <w:jc w:val="both"/>
        <w:rPr>
          <w:rFonts w:ascii="Times New Roman" w:hAnsi="Times New Roman" w:cs="Times New Roman"/>
          <w:b/>
          <w:noProof/>
        </w:rPr>
      </w:pPr>
      <w:r w:rsidRPr="00AF3D11">
        <w:rPr>
          <w:rFonts w:ascii="Times New Roman" w:eastAsia="Times New Roman" w:hAnsi="Times New Roman" w:cs="Times New Roman"/>
          <w:bCs/>
          <w:lang w:eastAsia="hr-HR"/>
        </w:rPr>
        <w:t xml:space="preserve">Prema Odluci o raspodjeli rezultata za 2023. godinu, </w:t>
      </w:r>
      <w:r w:rsidRPr="00AF3D11">
        <w:rPr>
          <w:rFonts w:ascii="Times New Roman" w:hAnsi="Times New Roman" w:cs="Times New Roman"/>
          <w:bCs/>
          <w:noProof/>
        </w:rPr>
        <w:t xml:space="preserve"> načinu korištenja viška prihoda u 2024. godini  te načinu pokrića manjka ukupan višak i manjak iznose</w:t>
      </w:r>
      <w:r w:rsidRPr="00AF3D11">
        <w:rPr>
          <w:rFonts w:ascii="Times New Roman" w:hAnsi="Times New Roman" w:cs="Times New Roman"/>
          <w:b/>
          <w:noProof/>
        </w:rPr>
        <w:t>:</w:t>
      </w:r>
    </w:p>
    <w:p w14:paraId="347D764D" w14:textId="40243472" w:rsidR="006D6361" w:rsidRPr="00AF3D11" w:rsidRDefault="006D6361" w:rsidP="006D6361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11">
        <w:rPr>
          <w:rFonts w:ascii="Times New Roman" w:eastAsia="Times New Roman" w:hAnsi="Times New Roman" w:cs="Times New Roman"/>
          <w:bCs/>
          <w:lang w:eastAsia="hr-HR"/>
        </w:rPr>
        <w:t xml:space="preserve">Ukupno višak: </w:t>
      </w:r>
      <w:r w:rsidR="000B38CD">
        <w:rPr>
          <w:rFonts w:ascii="Times New Roman" w:eastAsia="Times New Roman" w:hAnsi="Times New Roman" w:cs="Times New Roman"/>
          <w:bCs/>
          <w:lang w:eastAsia="hr-HR"/>
        </w:rPr>
        <w:t xml:space="preserve">            </w:t>
      </w:r>
      <w:r w:rsidR="00ED6260" w:rsidRPr="00AF3D11">
        <w:rPr>
          <w:rFonts w:ascii="Times New Roman" w:eastAsia="Times New Roman" w:hAnsi="Times New Roman" w:cs="Times New Roman"/>
          <w:bCs/>
          <w:lang w:eastAsia="hr-HR"/>
        </w:rPr>
        <w:t>1.696,00</w:t>
      </w:r>
      <w:r w:rsidRPr="00AF3D11">
        <w:rPr>
          <w:rFonts w:ascii="Times New Roman" w:eastAsia="Times New Roman" w:hAnsi="Times New Roman" w:cs="Times New Roman"/>
          <w:bCs/>
          <w:lang w:eastAsia="hr-HR"/>
        </w:rPr>
        <w:t xml:space="preserve"> EUR</w:t>
      </w:r>
    </w:p>
    <w:p w14:paraId="4C303453" w14:textId="56540579" w:rsidR="006D6361" w:rsidRPr="00AF3D11" w:rsidRDefault="006D6361" w:rsidP="006D6361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F3D11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Ukupno manjak:       </w:t>
      </w:r>
      <w:r w:rsidR="00ED6260" w:rsidRPr="00AF3D11">
        <w:rPr>
          <w:rFonts w:ascii="Times New Roman" w:eastAsia="Times New Roman" w:hAnsi="Times New Roman" w:cs="Times New Roman"/>
          <w:bCs/>
          <w:u w:val="single"/>
          <w:lang w:eastAsia="hr-HR"/>
        </w:rPr>
        <w:t>-46.707,44</w:t>
      </w:r>
      <w:r w:rsidRPr="00AF3D11">
        <w:rPr>
          <w:rFonts w:ascii="Times New Roman" w:eastAsia="Times New Roman" w:hAnsi="Times New Roman" w:cs="Times New Roman"/>
          <w:bCs/>
          <w:u w:val="single"/>
          <w:lang w:eastAsia="hr-HR"/>
        </w:rPr>
        <w:t>EUR</w:t>
      </w:r>
    </w:p>
    <w:p w14:paraId="68FC54DD" w14:textId="0F9603A5" w:rsidR="006D6361" w:rsidRPr="00AF3D11" w:rsidRDefault="006D6361" w:rsidP="00C70B5A">
      <w:pPr>
        <w:spacing w:after="160" w:line="259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>Razlika</w:t>
      </w:r>
      <w:r w:rsidR="00ED6260"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manjak</w:t>
      </w:r>
      <w:r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: </w:t>
      </w:r>
      <w:r w:rsidR="00ED6260"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</w:t>
      </w:r>
      <w:r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</w:t>
      </w:r>
      <w:r w:rsidR="00ED6260"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-45.011,44 </w:t>
      </w:r>
      <w:r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>EUR</w:t>
      </w:r>
    </w:p>
    <w:p w14:paraId="7605E972" w14:textId="3C4DC98A" w:rsidR="00600AC4" w:rsidRDefault="00600AC4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r-HR"/>
        </w:rPr>
      </w:pPr>
    </w:p>
    <w:p w14:paraId="4898D0D2" w14:textId="2FF28CED" w:rsidR="00302476" w:rsidRPr="00863AF0" w:rsidRDefault="00302476" w:rsidP="00863AF0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C5908">
        <w:rPr>
          <w:rFonts w:ascii="Times New Roman" w:eastAsia="Times New Roman" w:hAnsi="Times New Roman" w:cs="Times New Roman"/>
          <w:b/>
          <w:lang w:eastAsia="hr-HR"/>
        </w:rPr>
        <w:t>Preneseni rezultat po izvorima financiranja:</w:t>
      </w:r>
    </w:p>
    <w:tbl>
      <w:tblPr>
        <w:tblStyle w:val="Reetkatablice1"/>
        <w:tblpPr w:leftFromText="180" w:rightFromText="180" w:vertAnchor="text" w:tblpX="-5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846"/>
        <w:gridCol w:w="6455"/>
        <w:gridCol w:w="1630"/>
      </w:tblGrid>
      <w:tr w:rsidR="00302476" w:rsidRPr="007515AF" w14:paraId="1A53B0A5" w14:textId="77777777" w:rsidTr="00302476">
        <w:tc>
          <w:tcPr>
            <w:tcW w:w="847" w:type="dxa"/>
            <w:shd w:val="clear" w:color="auto" w:fill="D9E2F3" w:themeFill="accent5" w:themeFillTint="33"/>
          </w:tcPr>
          <w:p w14:paraId="298FD731" w14:textId="77777777" w:rsidR="00302476" w:rsidRPr="007515AF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6524" w:type="dxa"/>
            <w:shd w:val="clear" w:color="auto" w:fill="D9E2F3" w:themeFill="accent5" w:themeFillTint="33"/>
          </w:tcPr>
          <w:p w14:paraId="0E3F308C" w14:textId="77777777" w:rsidR="00302476" w:rsidRPr="007515AF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izvora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293611C0" w14:textId="77777777" w:rsidR="00302476" w:rsidRPr="007515AF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Manjak/višak</w:t>
            </w:r>
          </w:p>
        </w:tc>
      </w:tr>
      <w:tr w:rsidR="00302476" w:rsidRPr="007515AF" w14:paraId="34154A57" w14:textId="77777777" w:rsidTr="00302476">
        <w:tc>
          <w:tcPr>
            <w:tcW w:w="847" w:type="dxa"/>
          </w:tcPr>
          <w:p w14:paraId="17AC5EC5" w14:textId="77777777" w:rsidR="00302476" w:rsidRPr="003C426F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524" w:type="dxa"/>
          </w:tcPr>
          <w:p w14:paraId="4ABC6137" w14:textId="77777777" w:rsidR="00302476" w:rsidRPr="003C426F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560" w:type="dxa"/>
          </w:tcPr>
          <w:p w14:paraId="37EA56EB" w14:textId="197B2EC1" w:rsidR="00302476" w:rsidRPr="003C426F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-16.877,00</w:t>
            </w:r>
          </w:p>
        </w:tc>
      </w:tr>
      <w:tr w:rsidR="00302476" w:rsidRPr="007515AF" w14:paraId="1B8204CD" w14:textId="77777777" w:rsidTr="00302476">
        <w:tc>
          <w:tcPr>
            <w:tcW w:w="847" w:type="dxa"/>
            <w:vAlign w:val="bottom"/>
          </w:tcPr>
          <w:p w14:paraId="2FD1C4B2" w14:textId="502E6038" w:rsidR="00302476" w:rsidRPr="007515AF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    11</w:t>
            </w:r>
          </w:p>
        </w:tc>
        <w:tc>
          <w:tcPr>
            <w:tcW w:w="6524" w:type="dxa"/>
          </w:tcPr>
          <w:p w14:paraId="1D73B962" w14:textId="77777777" w:rsidR="00302476" w:rsidRPr="007515AF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560" w:type="dxa"/>
          </w:tcPr>
          <w:p w14:paraId="7B9B9A79" w14:textId="6A53D50C" w:rsid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-5.702,00</w:t>
            </w:r>
          </w:p>
        </w:tc>
      </w:tr>
      <w:tr w:rsidR="00302476" w:rsidRPr="007515AF" w14:paraId="3CDA74CC" w14:textId="77777777" w:rsidTr="00302476">
        <w:trPr>
          <w:trHeight w:val="366"/>
        </w:trPr>
        <w:tc>
          <w:tcPr>
            <w:tcW w:w="847" w:type="dxa"/>
            <w:vAlign w:val="bottom"/>
          </w:tcPr>
          <w:p w14:paraId="0DE072C0" w14:textId="2367DAB3" w:rsidR="00302476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12</w:t>
            </w:r>
          </w:p>
        </w:tc>
        <w:tc>
          <w:tcPr>
            <w:tcW w:w="6524" w:type="dxa"/>
          </w:tcPr>
          <w:p w14:paraId="769EF9A0" w14:textId="22A6DB85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Opći prihodi i primici – decentralizacija -školstvo</w:t>
            </w:r>
          </w:p>
        </w:tc>
        <w:tc>
          <w:tcPr>
            <w:tcW w:w="1560" w:type="dxa"/>
          </w:tcPr>
          <w:p w14:paraId="4BDB7313" w14:textId="79F5B89D" w:rsid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-11.175,00</w:t>
            </w:r>
          </w:p>
        </w:tc>
      </w:tr>
      <w:tr w:rsidR="00302476" w:rsidRPr="007515AF" w14:paraId="04F63740" w14:textId="77777777" w:rsidTr="00302476">
        <w:tc>
          <w:tcPr>
            <w:tcW w:w="847" w:type="dxa"/>
          </w:tcPr>
          <w:p w14:paraId="2540A9AF" w14:textId="74B25708" w:rsidR="00302476" w:rsidRPr="00302476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524" w:type="dxa"/>
          </w:tcPr>
          <w:p w14:paraId="3CBA672E" w14:textId="5F147BC5" w:rsidR="00302476" w:rsidRP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1560" w:type="dxa"/>
          </w:tcPr>
          <w:p w14:paraId="561529EC" w14:textId="5BE26889" w:rsidR="00302476" w:rsidRP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664,00</w:t>
            </w:r>
          </w:p>
        </w:tc>
      </w:tr>
      <w:tr w:rsidR="00302476" w:rsidRPr="007515AF" w14:paraId="64742863" w14:textId="77777777" w:rsidTr="00302476">
        <w:tc>
          <w:tcPr>
            <w:tcW w:w="847" w:type="dxa"/>
          </w:tcPr>
          <w:p w14:paraId="250D3089" w14:textId="623DCA69" w:rsidR="00302476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21</w:t>
            </w:r>
          </w:p>
        </w:tc>
        <w:tc>
          <w:tcPr>
            <w:tcW w:w="6524" w:type="dxa"/>
          </w:tcPr>
          <w:p w14:paraId="060BB211" w14:textId="7358910B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Vlastiti prihodi - Proračunski korisnici</w:t>
            </w:r>
          </w:p>
        </w:tc>
        <w:tc>
          <w:tcPr>
            <w:tcW w:w="1560" w:type="dxa"/>
          </w:tcPr>
          <w:p w14:paraId="09BAF5CB" w14:textId="5B1DE5D9" w:rsid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664,00</w:t>
            </w:r>
          </w:p>
        </w:tc>
      </w:tr>
      <w:tr w:rsidR="00302476" w:rsidRPr="007515AF" w14:paraId="0EDF4CA6" w14:textId="77777777" w:rsidTr="00302476">
        <w:tc>
          <w:tcPr>
            <w:tcW w:w="847" w:type="dxa"/>
          </w:tcPr>
          <w:p w14:paraId="29C68580" w14:textId="278C2E35" w:rsidR="00302476" w:rsidRPr="00302476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524" w:type="dxa"/>
          </w:tcPr>
          <w:p w14:paraId="3FFC4C01" w14:textId="518A5D83" w:rsidR="00302476" w:rsidRP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Prihodi za posebne namjene</w:t>
            </w:r>
          </w:p>
        </w:tc>
        <w:tc>
          <w:tcPr>
            <w:tcW w:w="1560" w:type="dxa"/>
          </w:tcPr>
          <w:p w14:paraId="4CFC874C" w14:textId="6AA075A8" w:rsidR="00302476" w:rsidRP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1.007,00</w:t>
            </w:r>
          </w:p>
        </w:tc>
      </w:tr>
      <w:tr w:rsidR="00302476" w:rsidRPr="007515AF" w14:paraId="5575107C" w14:textId="77777777" w:rsidTr="00302476">
        <w:tc>
          <w:tcPr>
            <w:tcW w:w="847" w:type="dxa"/>
          </w:tcPr>
          <w:p w14:paraId="0CB89482" w14:textId="778AFFA0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31</w:t>
            </w:r>
          </w:p>
        </w:tc>
        <w:tc>
          <w:tcPr>
            <w:tcW w:w="6524" w:type="dxa"/>
          </w:tcPr>
          <w:p w14:paraId="2025F541" w14:textId="2F2860A3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Prihodi za posebne namjene – proračunski korisnici</w:t>
            </w:r>
          </w:p>
        </w:tc>
        <w:tc>
          <w:tcPr>
            <w:tcW w:w="1560" w:type="dxa"/>
          </w:tcPr>
          <w:p w14:paraId="6B3E70AA" w14:textId="31AB4258" w:rsid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1.007,00</w:t>
            </w:r>
          </w:p>
        </w:tc>
      </w:tr>
      <w:tr w:rsidR="00302476" w:rsidRPr="007515AF" w14:paraId="4BD54B51" w14:textId="77777777" w:rsidTr="00302476">
        <w:tc>
          <w:tcPr>
            <w:tcW w:w="847" w:type="dxa"/>
          </w:tcPr>
          <w:p w14:paraId="1F4BC578" w14:textId="50B7458E" w:rsidR="00302476" w:rsidRPr="00302476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524" w:type="dxa"/>
          </w:tcPr>
          <w:p w14:paraId="38E35B45" w14:textId="0C103E31" w:rsidR="00302476" w:rsidRP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1560" w:type="dxa"/>
          </w:tcPr>
          <w:p w14:paraId="05313545" w14:textId="51374E76" w:rsidR="00302476" w:rsidRP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-29.830,00</w:t>
            </w:r>
          </w:p>
        </w:tc>
      </w:tr>
      <w:tr w:rsidR="00302476" w:rsidRPr="007515AF" w14:paraId="008ECCCD" w14:textId="77777777" w:rsidTr="00302476">
        <w:tc>
          <w:tcPr>
            <w:tcW w:w="847" w:type="dxa"/>
          </w:tcPr>
          <w:p w14:paraId="70D598B5" w14:textId="2A7D8307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41</w:t>
            </w:r>
          </w:p>
        </w:tc>
        <w:tc>
          <w:tcPr>
            <w:tcW w:w="6524" w:type="dxa"/>
          </w:tcPr>
          <w:p w14:paraId="4D505DA6" w14:textId="4B41BD73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Pomoći unutar općeg proračuna – Grad Koprivnica</w:t>
            </w:r>
          </w:p>
        </w:tc>
        <w:tc>
          <w:tcPr>
            <w:tcW w:w="1560" w:type="dxa"/>
          </w:tcPr>
          <w:p w14:paraId="1F2599ED" w14:textId="7DCE5F0F" w:rsid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-10.751,00</w:t>
            </w:r>
          </w:p>
        </w:tc>
      </w:tr>
      <w:tr w:rsidR="00302476" w:rsidRPr="007515AF" w14:paraId="0F8B1D4A" w14:textId="77777777" w:rsidTr="00302476">
        <w:tc>
          <w:tcPr>
            <w:tcW w:w="847" w:type="dxa"/>
          </w:tcPr>
          <w:p w14:paraId="35296386" w14:textId="36ECFA2D" w:rsidR="00302476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42</w:t>
            </w:r>
          </w:p>
        </w:tc>
        <w:tc>
          <w:tcPr>
            <w:tcW w:w="6524" w:type="dxa"/>
          </w:tcPr>
          <w:p w14:paraId="0FDBC8C0" w14:textId="5122A393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Pomoći unutar općeg proračuna – Proračunski korisnici</w:t>
            </w:r>
          </w:p>
        </w:tc>
        <w:tc>
          <w:tcPr>
            <w:tcW w:w="1560" w:type="dxa"/>
          </w:tcPr>
          <w:p w14:paraId="7DB122A5" w14:textId="1978B688" w:rsid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-14.402,00</w:t>
            </w:r>
          </w:p>
        </w:tc>
      </w:tr>
      <w:tr w:rsidR="00302476" w:rsidRPr="007515AF" w14:paraId="69F24958" w14:textId="77777777" w:rsidTr="00302476">
        <w:tc>
          <w:tcPr>
            <w:tcW w:w="847" w:type="dxa"/>
          </w:tcPr>
          <w:p w14:paraId="2A0202DC" w14:textId="2C187E95" w:rsidR="00302476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43</w:t>
            </w:r>
          </w:p>
        </w:tc>
        <w:tc>
          <w:tcPr>
            <w:tcW w:w="6524" w:type="dxa"/>
          </w:tcPr>
          <w:p w14:paraId="2A347A61" w14:textId="56650DC7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Pomoći unutar općeg proračuna EU projekti – Grad Koprivnica</w:t>
            </w:r>
          </w:p>
        </w:tc>
        <w:tc>
          <w:tcPr>
            <w:tcW w:w="1560" w:type="dxa"/>
          </w:tcPr>
          <w:p w14:paraId="3A47A784" w14:textId="4950F2B0" w:rsid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-4.677,00</w:t>
            </w:r>
          </w:p>
        </w:tc>
      </w:tr>
      <w:tr w:rsidR="00302476" w:rsidRPr="007515AF" w14:paraId="150F6CF0" w14:textId="77777777" w:rsidTr="00302476">
        <w:tc>
          <w:tcPr>
            <w:tcW w:w="847" w:type="dxa"/>
          </w:tcPr>
          <w:p w14:paraId="65FEF53A" w14:textId="77777777" w:rsidR="00302476" w:rsidRPr="003C426F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6524" w:type="dxa"/>
          </w:tcPr>
          <w:p w14:paraId="01129A3A" w14:textId="35B6BA67" w:rsidR="00302476" w:rsidRPr="003C426F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1560" w:type="dxa"/>
          </w:tcPr>
          <w:p w14:paraId="41B3429E" w14:textId="371C1E39" w:rsidR="00302476" w:rsidRPr="003C426F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25,00</w:t>
            </w:r>
          </w:p>
        </w:tc>
      </w:tr>
      <w:tr w:rsidR="00302476" w:rsidRPr="007515AF" w14:paraId="01744E87" w14:textId="77777777" w:rsidTr="00302476">
        <w:tc>
          <w:tcPr>
            <w:tcW w:w="847" w:type="dxa"/>
          </w:tcPr>
          <w:p w14:paraId="0BD2E159" w14:textId="767FE3B2" w:rsidR="00302476" w:rsidRPr="007515AF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52</w:t>
            </w:r>
          </w:p>
        </w:tc>
        <w:tc>
          <w:tcPr>
            <w:tcW w:w="6524" w:type="dxa"/>
          </w:tcPr>
          <w:p w14:paraId="341BC29D" w14:textId="71A7E994" w:rsidR="00302476" w:rsidRDefault="00302476" w:rsidP="00302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Donacije – Proračunski korisnici</w:t>
            </w:r>
          </w:p>
        </w:tc>
        <w:tc>
          <w:tcPr>
            <w:tcW w:w="1560" w:type="dxa"/>
          </w:tcPr>
          <w:p w14:paraId="2805CC1D" w14:textId="522A5728" w:rsidR="00302476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25,00</w:t>
            </w:r>
          </w:p>
        </w:tc>
      </w:tr>
      <w:tr w:rsidR="00302476" w:rsidRPr="007515AF" w14:paraId="25245B51" w14:textId="77777777" w:rsidTr="00302476">
        <w:tc>
          <w:tcPr>
            <w:tcW w:w="847" w:type="dxa"/>
          </w:tcPr>
          <w:p w14:paraId="4FB2EA14" w14:textId="77777777" w:rsidR="00302476" w:rsidRPr="007515AF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24" w:type="dxa"/>
          </w:tcPr>
          <w:p w14:paraId="1DCAE539" w14:textId="77777777" w:rsidR="00302476" w:rsidRPr="007515AF" w:rsidRDefault="00302476" w:rsidP="003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preneseni rezultat:</w:t>
            </w:r>
          </w:p>
        </w:tc>
        <w:tc>
          <w:tcPr>
            <w:tcW w:w="1560" w:type="dxa"/>
          </w:tcPr>
          <w:p w14:paraId="0BC87B06" w14:textId="418DD672" w:rsidR="00302476" w:rsidRPr="007515AF" w:rsidRDefault="00302476" w:rsidP="00302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45.011,00</w:t>
            </w:r>
          </w:p>
        </w:tc>
      </w:tr>
    </w:tbl>
    <w:p w14:paraId="0D7B2E8B" w14:textId="77777777" w:rsidR="00302476" w:rsidRPr="00034FA0" w:rsidRDefault="00302476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r-HR"/>
        </w:rPr>
      </w:pPr>
    </w:p>
    <w:p w14:paraId="30AB0E8D" w14:textId="644625F7" w:rsidR="00DA70A5" w:rsidRPr="00034FA0" w:rsidRDefault="00B75460" w:rsidP="0040396A">
      <w:pPr>
        <w:pStyle w:val="Odlomakpopisa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034FA0">
        <w:rPr>
          <w:b/>
          <w:color w:val="000000" w:themeColor="text1"/>
          <w:sz w:val="22"/>
          <w:szCs w:val="22"/>
        </w:rPr>
        <w:t>OBRAZLOŽENJE POSEBNOG DIJELA FINANCIJSKOG PLANA</w:t>
      </w:r>
    </w:p>
    <w:p w14:paraId="3C92BC96" w14:textId="6459ADD1" w:rsidR="00B75460" w:rsidRPr="00034FA0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5F6E1745" w14:textId="003C2173" w:rsidR="00B75460" w:rsidRPr="00034FA0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034FA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OBRAZLOŽENJE </w:t>
      </w:r>
      <w:r w:rsidR="00AB666D" w:rsidRPr="00034FA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FINANCIJSKOG PLANA </w:t>
      </w:r>
      <w:r w:rsidRPr="00034FA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 PROGRAMIMA/AKTIVNOSTIMA</w:t>
      </w:r>
    </w:p>
    <w:p w14:paraId="3B62DC3E" w14:textId="77777777" w:rsidR="00F90DD8" w:rsidRPr="00034FA0" w:rsidRDefault="00F90DD8" w:rsidP="00F90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6740018D" w14:textId="77DBB608" w:rsidR="00836453" w:rsidRPr="00034FA0" w:rsidRDefault="00F90DD8" w:rsidP="00004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34FA0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Prioritet škole je kvalitetno obrazovanje i odgoj učenika što ostvarujemo stalnim usavršavanjem učitelja, stručnih suradnika i ostalih djelatnika (seminari, stručni skupovi, aktivi) i podizanje nastavnog standarda na višu razinu, poticanjem učenika na izražavanje kreativnosti, talenata i sposobnosti prema interesima, razvijanje navike </w:t>
      </w:r>
      <w:proofErr w:type="spellStart"/>
      <w:r w:rsidRPr="00034FA0">
        <w:rPr>
          <w:rFonts w:ascii="Times New Roman" w:eastAsia="Times New Roman" w:hAnsi="Times New Roman" w:cs="Times New Roman"/>
          <w:color w:val="000000" w:themeColor="text1"/>
          <w:lang w:eastAsia="hr-HR"/>
        </w:rPr>
        <w:t>cijeloživotnog</w:t>
      </w:r>
      <w:proofErr w:type="spellEnd"/>
      <w:r w:rsidRPr="00034FA0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učenja, usvajanje zdravih navika, pozitivnih stavova te razvoj kompletne mlade osobe s razvijenim samopoštovanjem i poštovanjem drugih</w:t>
      </w:r>
      <w:r w:rsidR="00B35B58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70007BEB" w14:textId="30011531" w:rsidR="009F36FB" w:rsidRPr="00034FA0" w:rsidRDefault="009F36FB" w:rsidP="009F36F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034FA0">
        <w:rPr>
          <w:rFonts w:ascii="Times New Roman" w:eastAsia="Times New Roman" w:hAnsi="Times New Roman" w:cs="Times New Roman"/>
          <w:color w:val="000000" w:themeColor="text1"/>
          <w:lang w:eastAsia="hr-HR"/>
        </w:rPr>
        <w:t>Financijskim planom su planirana sredstva za provođenje programa 3002 Osnovni program osnovnoškolskog odgoja i obrazovanja, 3003 Dodatni program odgoja i obrazovanja, 3015 Socijalni program i 9000 COP.</w:t>
      </w:r>
    </w:p>
    <w:p w14:paraId="26C4D9FF" w14:textId="59BA35E5" w:rsidR="00836453" w:rsidRPr="00985D0A" w:rsidRDefault="00836453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417"/>
        <w:gridCol w:w="1418"/>
        <w:gridCol w:w="1559"/>
        <w:gridCol w:w="1559"/>
      </w:tblGrid>
      <w:tr w:rsidR="00AE4315" w:rsidRPr="00AE4315" w14:paraId="69D5EDBD" w14:textId="0BF76736" w:rsidTr="00AE431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8898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bookmarkStart w:id="0" w:name="_Hlk148691227"/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RAZDJEL 020 UPRAVNI ODJEL ZA DRUŠTVENE DJELATNOSTI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E46C" w14:textId="77777777" w:rsidR="00AE4315" w:rsidRPr="00AE4315" w:rsidRDefault="00AE4315" w:rsidP="009F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B55D" w14:textId="4319A9C9" w:rsidR="00AE4315" w:rsidRPr="00AE4315" w:rsidRDefault="00AE4315" w:rsidP="009F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POVEĆANJE /  SMANJENJE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781E" w14:textId="3884164A" w:rsidR="00AE4315" w:rsidRPr="00AE4315" w:rsidRDefault="00AE4315" w:rsidP="009F55FF">
            <w:pPr>
              <w:pStyle w:val="Odlomakpopisa"/>
              <w:ind w:left="-10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315">
              <w:rPr>
                <w:b/>
                <w:bCs/>
                <w:color w:val="000000" w:themeColor="text1"/>
                <w:sz w:val="20"/>
                <w:szCs w:val="20"/>
              </w:rPr>
              <w:t>I. IZMJENE I DOPUNE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701F" w14:textId="2D0B6444" w:rsidR="00AE4315" w:rsidRPr="00AE4315" w:rsidRDefault="00AE4315" w:rsidP="009F55FF">
            <w:pPr>
              <w:pStyle w:val="Odlomakpopisa"/>
              <w:ind w:left="-10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315">
              <w:rPr>
                <w:b/>
                <w:bCs/>
                <w:color w:val="000000" w:themeColor="text1"/>
                <w:sz w:val="20"/>
                <w:szCs w:val="20"/>
              </w:rPr>
              <w:t>POVEĆANJE /  SMANJENJE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296E" w14:textId="3B00E4DD" w:rsidR="00AE4315" w:rsidRPr="00AE4315" w:rsidRDefault="00AE4315" w:rsidP="009F55FF">
            <w:pPr>
              <w:pStyle w:val="Odlomakpopisa"/>
              <w:ind w:left="-10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315">
              <w:rPr>
                <w:b/>
                <w:bCs/>
                <w:color w:val="000000" w:themeColor="text1"/>
                <w:sz w:val="20"/>
                <w:szCs w:val="20"/>
              </w:rPr>
              <w:t>II. IZMJENE I DOPUNE</w:t>
            </w:r>
          </w:p>
        </w:tc>
      </w:tr>
      <w:tr w:rsidR="00AE4315" w:rsidRPr="00AE4315" w14:paraId="42B22BB8" w14:textId="6B253E3F" w:rsidTr="00AE431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981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Glava 02003 Osnovne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EA4" w14:textId="518369E6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0F2E" w14:textId="01A92880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D3D" w14:textId="12D7F39A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B81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633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</w:tr>
      <w:tr w:rsidR="00AE4315" w:rsidRPr="00AE4315" w14:paraId="441B66FB" w14:textId="231317CE" w:rsidTr="00AE431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1486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Program 3002 Osnovni program osnovnoškolskog odgoja i obrazovanja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3AFC" w14:textId="09F58F81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332.680,00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BB60" w14:textId="47A4763C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2605" w14:textId="727C27CC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332.680,00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E1FEA" w14:textId="77777777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  <w:p w14:paraId="2058DE06" w14:textId="4B9E0698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-35.942,00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21BB7" w14:textId="77777777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  <w:p w14:paraId="2E84F2EF" w14:textId="066259FE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296.738,00</w:t>
            </w:r>
          </w:p>
        </w:tc>
      </w:tr>
      <w:tr w:rsidR="00AE4315" w:rsidRPr="00AE4315" w14:paraId="1B71F161" w14:textId="3D687E09" w:rsidTr="00AE431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ADD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Program 3003 Dodatni programi odgoja i obrazovanja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3EC4" w14:textId="43CD616B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237.812,00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B00E" w14:textId="07A9566D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127.591,00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F489" w14:textId="719ED5DF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365.403,00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3081" w14:textId="7F497B25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-2.331,00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7F67C" w14:textId="694F51DD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363.072,00</w:t>
            </w:r>
          </w:p>
        </w:tc>
      </w:tr>
      <w:tr w:rsidR="00AE4315" w:rsidRPr="00AE4315" w14:paraId="00806F74" w14:textId="6877DD5E" w:rsidTr="00AE431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642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Program 3015 Socijalni program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71E0" w14:textId="56229465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204.930,00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A0F9" w14:textId="27790B2E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-665,00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6161" w14:textId="7BE0348B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204.265,00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64DA" w14:textId="65D76047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6.174,00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55C2" w14:textId="49EAE7FB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210.439,00</w:t>
            </w:r>
          </w:p>
        </w:tc>
      </w:tr>
      <w:tr w:rsidR="00AE4315" w:rsidRPr="00AE4315" w14:paraId="086C8284" w14:textId="5F0AE1EB" w:rsidTr="00AE431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4DE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Program 9000 COP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8D89" w14:textId="07C3484C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2.116.933,00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B3DC" w14:textId="001245BA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582.203,00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D8C2" w14:textId="1A48AD10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2.699.136,00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0618" w14:textId="472129E6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-229.720,00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9EA89" w14:textId="0377BEF1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2.469.416,00</w:t>
            </w:r>
          </w:p>
        </w:tc>
      </w:tr>
      <w:tr w:rsidR="00AE4315" w:rsidRPr="00AE4315" w14:paraId="7C6C8328" w14:textId="28F74E68" w:rsidTr="00AE431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4FB" w14:textId="77777777" w:rsidR="00AE4315" w:rsidRPr="00AE4315" w:rsidRDefault="00AE4315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CF68" w14:textId="23311223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2.892.355,00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AE5" w14:textId="09606ABF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709.129,00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59B" w14:textId="2E11811F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3.601.484,00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BF8" w14:textId="788A01E2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261.819,00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DF2" w14:textId="3A18F76A" w:rsidR="00AE4315" w:rsidRPr="00AE4315" w:rsidRDefault="00AE4315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AE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3.339.665,00</w:t>
            </w:r>
          </w:p>
        </w:tc>
      </w:tr>
      <w:bookmarkEnd w:id="0"/>
    </w:tbl>
    <w:p w14:paraId="6F31414F" w14:textId="77777777" w:rsidR="00863AF0" w:rsidRDefault="00863AF0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4FDBC547" w14:textId="77777777" w:rsidR="00863AF0" w:rsidRDefault="00863AF0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217CF5B6" w14:textId="0743D1FF" w:rsidR="00836453" w:rsidRPr="00034FA0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034FA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Program 3002 OSNOVNI PROGRAM OSNOVNOŠKOLSKOG ODGOJA I OBRAZOVANJA</w:t>
      </w:r>
    </w:p>
    <w:p w14:paraId="2826A109" w14:textId="77777777" w:rsidR="0040396A" w:rsidRPr="00034FA0" w:rsidRDefault="0040396A" w:rsidP="00F9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6E3A1865" w14:textId="45C6C038" w:rsidR="00C25AB1" w:rsidRPr="00985D0A" w:rsidRDefault="00C25AB1" w:rsidP="00C25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FF0000"/>
        </w:rPr>
      </w:pPr>
      <w:r w:rsidRPr="00034FA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Program 3002 OSNOVNI PROGRAM OSNOVNOŠKOLSKOG ODGOJA I OBRAZOVANJA </w:t>
      </w:r>
      <w:r w:rsidRPr="00034FA0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ima cilj </w:t>
      </w:r>
      <w:r w:rsidRPr="00034FA0">
        <w:rPr>
          <w:rFonts w:ascii="Times New Roman" w:hAnsi="Times New Roman" w:cs="Times New Roman"/>
          <w:bCs/>
          <w:color w:val="000000" w:themeColor="text1"/>
        </w:rPr>
        <w:t xml:space="preserve">osiguravanje minimalnog financijskog standarda, a u okviru državnog standarda za financiranje </w:t>
      </w:r>
      <w:r w:rsidRPr="00034FA0">
        <w:rPr>
          <w:rFonts w:ascii="Times New Roman" w:hAnsi="Times New Roman" w:cs="Times New Roman"/>
          <w:color w:val="000000" w:themeColor="text1"/>
        </w:rPr>
        <w:t xml:space="preserve">materijalnih rashoda  te rashoda za nabavu </w:t>
      </w:r>
      <w:r w:rsidRPr="00034FA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34FA0">
        <w:rPr>
          <w:rFonts w:ascii="Times New Roman" w:hAnsi="Times New Roman" w:cs="Times New Roman"/>
          <w:iCs/>
          <w:color w:val="000000" w:themeColor="text1"/>
        </w:rPr>
        <w:t>nefinancijske imovine koji su nužni za redovno funkcioniranje Škole. Program se sastoji od jedne Aktivnosti koja ima isti cilj kao i program</w:t>
      </w:r>
      <w:r w:rsidRPr="00985D0A">
        <w:rPr>
          <w:rFonts w:ascii="Times New Roman" w:hAnsi="Times New Roman" w:cs="Times New Roman"/>
          <w:iCs/>
          <w:color w:val="FF0000"/>
        </w:rPr>
        <w:t>.</w:t>
      </w:r>
    </w:p>
    <w:p w14:paraId="4ECF683F" w14:textId="77777777" w:rsidR="00FF2CE2" w:rsidRPr="00AD26E0" w:rsidRDefault="00FF2CE2" w:rsidP="00FF2CE2">
      <w:pPr>
        <w:ind w:firstLine="360"/>
        <w:jc w:val="both"/>
        <w:rPr>
          <w:rFonts w:ascii="Times New Roman" w:hAnsi="Times New Roman" w:cs="Times New Roman"/>
          <w:b/>
        </w:rPr>
      </w:pPr>
      <w:r w:rsidRPr="00AD26E0">
        <w:rPr>
          <w:rFonts w:ascii="Times New Roman" w:hAnsi="Times New Roman" w:cs="Times New Roman"/>
          <w:b/>
        </w:rPr>
        <w:t>ZAKONSKE I DRUGE PODLOGE NA KOJIMA SE ZASNIVA PROGRAM</w:t>
      </w:r>
    </w:p>
    <w:p w14:paraId="05DF077E" w14:textId="77777777" w:rsidR="00FF2CE2" w:rsidRPr="00AD26E0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AD26E0">
        <w:rPr>
          <w:rFonts w:ascii="Times New Roman" w:hAnsi="Times New Roman" w:cs="Times New Roman"/>
        </w:rPr>
        <w:t xml:space="preserve">155/23 i 156/23),  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582F0EA4" w14:textId="77777777" w:rsidR="00FF2CE2" w:rsidRPr="00AD26E0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20518751" w14:textId="77777777" w:rsidR="00FF2CE2" w:rsidRPr="00AD26E0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72C0EAD1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hAnsi="Times New Roman" w:cs="Times New Roman"/>
          <w:color w:val="000000" w:themeColor="text1"/>
        </w:rPr>
        <w:t>Zakon o javnoj nabavi (NN broj 120/16 i 114/22),</w:t>
      </w:r>
    </w:p>
    <w:p w14:paraId="76375806" w14:textId="4438D098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Pravilnik o proračunskim klasifikacijama (NN broj 26/10, 120/13 i 1/20), Pravilnik o proračunskom računovodstvu i računskom planu (NN broj 124/14, 115/15, 87/16, 3/18, 126/19 i 108/20).</w:t>
      </w:r>
    </w:p>
    <w:p w14:paraId="2721AF50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Pravilnik o financijskom izvještavanju u proračunskom računovodstvu (NN broj 37/22)</w:t>
      </w:r>
    </w:p>
    <w:p w14:paraId="5F4BD1E8" w14:textId="77777777" w:rsidR="00FF2CE2" w:rsidRPr="00FF2CE2" w:rsidRDefault="00FF2CE2" w:rsidP="00FF2CE2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Godišnji plan i program rada škole za školsku godinu 2023./2024. i 2024./2025. </w:t>
      </w:r>
    </w:p>
    <w:p w14:paraId="7AC08FFD" w14:textId="77777777" w:rsidR="00FF2CE2" w:rsidRPr="00FF2CE2" w:rsidRDefault="00FF2CE2" w:rsidP="00FF2CE2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color w:val="000000" w:themeColor="text1"/>
          <w:sz w:val="22"/>
          <w:szCs w:val="22"/>
          <w:lang w:eastAsia="en-US"/>
        </w:rPr>
      </w:pPr>
      <w:r w:rsidRPr="00FF2CE2">
        <w:rPr>
          <w:color w:val="000000" w:themeColor="text1"/>
          <w:sz w:val="22"/>
          <w:szCs w:val="22"/>
        </w:rPr>
        <w:t>Školski kurikulum OŠ „Braća Radić“, nastavne i izvannastavne aktivnosti za školsku godinu 2023./2024. i 2024./2025.</w:t>
      </w:r>
    </w:p>
    <w:p w14:paraId="6D8B34B6" w14:textId="77777777" w:rsidR="00863AF0" w:rsidRPr="00863AF0" w:rsidRDefault="00863AF0" w:rsidP="00863AF0">
      <w:pPr>
        <w:contextualSpacing/>
        <w:jc w:val="both"/>
        <w:rPr>
          <w:iCs/>
          <w:color w:val="FF0000"/>
        </w:rPr>
      </w:pPr>
    </w:p>
    <w:p w14:paraId="7736AD1B" w14:textId="7332EE8B" w:rsidR="00210791" w:rsidRPr="00034FA0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034FA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AKTIVNOST: A300202 Decentralizirane funkcije osnovnog školstva – OŠ „Braća Radić“</w:t>
      </w:r>
    </w:p>
    <w:p w14:paraId="03F64EAC" w14:textId="77777777" w:rsidR="00E36B98" w:rsidRPr="00034FA0" w:rsidRDefault="00E36B98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5D0FB1AE" w14:textId="10721DCF" w:rsidR="002A2C3B" w:rsidRPr="00034FA0" w:rsidRDefault="002A2C3B" w:rsidP="002A2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4FA0">
        <w:rPr>
          <w:rFonts w:ascii="Times New Roman" w:hAnsi="Times New Roman" w:cs="Times New Roman"/>
          <w:color w:val="000000" w:themeColor="text1"/>
        </w:rPr>
        <w:t xml:space="preserve">             Uputom za izradu I</w:t>
      </w:r>
      <w:r w:rsidR="00034FA0" w:rsidRPr="00034FA0">
        <w:rPr>
          <w:rFonts w:ascii="Times New Roman" w:hAnsi="Times New Roman" w:cs="Times New Roman"/>
          <w:color w:val="000000" w:themeColor="text1"/>
        </w:rPr>
        <w:t>I</w:t>
      </w:r>
      <w:r w:rsidRPr="00034FA0">
        <w:rPr>
          <w:rFonts w:ascii="Times New Roman" w:hAnsi="Times New Roman" w:cs="Times New Roman"/>
          <w:color w:val="000000" w:themeColor="text1"/>
        </w:rPr>
        <w:t>. Izmjena i dopuna financijskog plana za 202</w:t>
      </w:r>
      <w:r w:rsidR="002A046E" w:rsidRPr="00034FA0">
        <w:rPr>
          <w:rFonts w:ascii="Times New Roman" w:hAnsi="Times New Roman" w:cs="Times New Roman"/>
          <w:color w:val="000000" w:themeColor="text1"/>
        </w:rPr>
        <w:t>4</w:t>
      </w:r>
      <w:r w:rsidRPr="00034FA0">
        <w:rPr>
          <w:rFonts w:ascii="Times New Roman" w:hAnsi="Times New Roman" w:cs="Times New Roman"/>
          <w:color w:val="000000" w:themeColor="text1"/>
        </w:rPr>
        <w:t xml:space="preserve">. godinu, predviđena sredstva za aktivnost </w:t>
      </w:r>
      <w:r w:rsidRPr="00034FA0">
        <w:rPr>
          <w:rFonts w:ascii="Times New Roman" w:hAnsi="Times New Roman" w:cs="Times New Roman"/>
          <w:i/>
          <w:color w:val="000000" w:themeColor="text1"/>
        </w:rPr>
        <w:t xml:space="preserve">Decentralizirane funkcije osnovnog školstva </w:t>
      </w:r>
      <w:r w:rsidRPr="00034FA0">
        <w:rPr>
          <w:rFonts w:ascii="Times New Roman" w:hAnsi="Times New Roman" w:cs="Times New Roman"/>
          <w:color w:val="000000" w:themeColor="text1"/>
        </w:rPr>
        <w:t xml:space="preserve">za osiguranje minimalnog financijskog standarda iznose </w:t>
      </w:r>
      <w:r w:rsidR="00034FA0" w:rsidRPr="00034FA0">
        <w:rPr>
          <w:rFonts w:ascii="Times New Roman" w:hAnsi="Times New Roman" w:cs="Times New Roman"/>
          <w:color w:val="000000" w:themeColor="text1"/>
        </w:rPr>
        <w:t>296.738,00</w:t>
      </w:r>
      <w:r w:rsidR="005C2ECF" w:rsidRPr="00034FA0">
        <w:rPr>
          <w:rFonts w:ascii="Times New Roman" w:hAnsi="Times New Roman" w:cs="Times New Roman"/>
          <w:color w:val="000000" w:themeColor="text1"/>
        </w:rPr>
        <w:t xml:space="preserve"> EUR</w:t>
      </w:r>
      <w:r w:rsidRPr="00034FA0">
        <w:rPr>
          <w:rFonts w:ascii="Times New Roman" w:hAnsi="Times New Roman" w:cs="Times New Roman"/>
          <w:color w:val="000000" w:themeColor="text1"/>
        </w:rPr>
        <w:t xml:space="preserve">. </w:t>
      </w:r>
    </w:p>
    <w:p w14:paraId="2AB7A6E4" w14:textId="03B2D6FE" w:rsidR="002A046E" w:rsidRPr="00034FA0" w:rsidRDefault="002A046E" w:rsidP="002A2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4FA0">
        <w:rPr>
          <w:rFonts w:ascii="Times New Roman" w:hAnsi="Times New Roman" w:cs="Times New Roman"/>
          <w:color w:val="000000" w:themeColor="text1"/>
        </w:rPr>
        <w:tab/>
        <w:t>Unutar aktivnosti je napravljen</w:t>
      </w:r>
      <w:r w:rsidR="00034FA0" w:rsidRPr="00034FA0">
        <w:rPr>
          <w:rFonts w:ascii="Times New Roman" w:hAnsi="Times New Roman" w:cs="Times New Roman"/>
          <w:color w:val="000000" w:themeColor="text1"/>
        </w:rPr>
        <w:t xml:space="preserve">o smanjenje sredstava na razredu 4 za 35.942,00 EUR. Od planiranih 72.492,00 EUR za </w:t>
      </w:r>
      <w:r w:rsidR="00863AF0">
        <w:rPr>
          <w:rFonts w:ascii="Times New Roman" w:hAnsi="Times New Roman" w:cs="Times New Roman"/>
          <w:color w:val="000000" w:themeColor="text1"/>
        </w:rPr>
        <w:t>rekonstrukcija u sanitarija faza I</w:t>
      </w:r>
      <w:r w:rsidR="00034FA0" w:rsidRPr="00034FA0">
        <w:rPr>
          <w:rFonts w:ascii="Times New Roman" w:hAnsi="Times New Roman" w:cs="Times New Roman"/>
          <w:color w:val="000000" w:themeColor="text1"/>
        </w:rPr>
        <w:t xml:space="preserve">, nije bilo realizacije jer je natječaj poništen zbog prevelike ponude </w:t>
      </w:r>
      <w:r w:rsidR="00863AF0">
        <w:rPr>
          <w:rFonts w:ascii="Times New Roman" w:hAnsi="Times New Roman" w:cs="Times New Roman"/>
          <w:color w:val="000000" w:themeColor="text1"/>
        </w:rPr>
        <w:t xml:space="preserve">ponuđača </w:t>
      </w:r>
      <w:r w:rsidR="00034FA0" w:rsidRPr="00034FA0">
        <w:rPr>
          <w:rFonts w:ascii="Times New Roman" w:hAnsi="Times New Roman" w:cs="Times New Roman"/>
          <w:color w:val="000000" w:themeColor="text1"/>
        </w:rPr>
        <w:t>pa smo dio sredstava</w:t>
      </w:r>
      <w:r w:rsidR="00863AF0">
        <w:rPr>
          <w:rFonts w:ascii="Times New Roman" w:hAnsi="Times New Roman" w:cs="Times New Roman"/>
          <w:color w:val="000000" w:themeColor="text1"/>
        </w:rPr>
        <w:t xml:space="preserve"> </w:t>
      </w:r>
      <w:r w:rsidR="00034FA0" w:rsidRPr="00034FA0">
        <w:rPr>
          <w:rFonts w:ascii="Times New Roman" w:hAnsi="Times New Roman" w:cs="Times New Roman"/>
          <w:color w:val="000000" w:themeColor="text1"/>
        </w:rPr>
        <w:t>prenam</w:t>
      </w:r>
      <w:r w:rsidR="00863AF0">
        <w:rPr>
          <w:rFonts w:ascii="Times New Roman" w:hAnsi="Times New Roman" w:cs="Times New Roman"/>
          <w:color w:val="000000" w:themeColor="text1"/>
        </w:rPr>
        <w:t>i</w:t>
      </w:r>
      <w:r w:rsidR="00034FA0" w:rsidRPr="00034FA0">
        <w:rPr>
          <w:rFonts w:ascii="Times New Roman" w:hAnsi="Times New Roman" w:cs="Times New Roman"/>
          <w:color w:val="000000" w:themeColor="text1"/>
        </w:rPr>
        <w:t>jenili za kupovinu klima uređaja, usisavača, traktorske kosilice,</w:t>
      </w:r>
      <w:r w:rsidR="00863AF0">
        <w:rPr>
          <w:rFonts w:ascii="Times New Roman" w:hAnsi="Times New Roman" w:cs="Times New Roman"/>
          <w:color w:val="000000" w:themeColor="text1"/>
        </w:rPr>
        <w:t xml:space="preserve"> računala za pedagogi</w:t>
      </w:r>
      <w:r w:rsidR="00496C10">
        <w:rPr>
          <w:rFonts w:ascii="Times New Roman" w:hAnsi="Times New Roman" w:cs="Times New Roman"/>
          <w:color w:val="000000" w:themeColor="text1"/>
        </w:rPr>
        <w:t>nj</w:t>
      </w:r>
      <w:r w:rsidR="00863AF0">
        <w:rPr>
          <w:rFonts w:ascii="Times New Roman" w:hAnsi="Times New Roman" w:cs="Times New Roman"/>
          <w:color w:val="000000" w:themeColor="text1"/>
        </w:rPr>
        <w:t>u,</w:t>
      </w:r>
      <w:r w:rsidR="00034FA0" w:rsidRPr="00034FA0">
        <w:rPr>
          <w:rFonts w:ascii="Times New Roman" w:hAnsi="Times New Roman" w:cs="Times New Roman"/>
          <w:color w:val="000000" w:themeColor="text1"/>
        </w:rPr>
        <w:t xml:space="preserve"> a dio je preusmjeren na drugog proračunskog korisnika</w:t>
      </w:r>
      <w:r w:rsidRPr="00034FA0">
        <w:rPr>
          <w:rFonts w:ascii="Times New Roman" w:hAnsi="Times New Roman" w:cs="Times New Roman"/>
          <w:color w:val="000000" w:themeColor="text1"/>
        </w:rPr>
        <w:t>.</w:t>
      </w:r>
      <w:r w:rsidR="00034FA0" w:rsidRPr="00034FA0">
        <w:rPr>
          <w:rFonts w:ascii="Times New Roman" w:hAnsi="Times New Roman" w:cs="Times New Roman"/>
          <w:color w:val="000000" w:themeColor="text1"/>
        </w:rPr>
        <w:t xml:space="preserve"> </w:t>
      </w:r>
      <w:r w:rsidR="005C2ECF" w:rsidRPr="00034FA0">
        <w:rPr>
          <w:rFonts w:ascii="Times New Roman" w:hAnsi="Times New Roman" w:cs="Times New Roman"/>
          <w:color w:val="000000" w:themeColor="text1"/>
        </w:rPr>
        <w:t xml:space="preserve">Također je napravljena preraspodjela unutar skupine 32 </w:t>
      </w:r>
      <w:r w:rsidR="00034FA0" w:rsidRPr="00034FA0">
        <w:rPr>
          <w:rFonts w:ascii="Times New Roman" w:hAnsi="Times New Roman" w:cs="Times New Roman"/>
          <w:color w:val="000000" w:themeColor="text1"/>
        </w:rPr>
        <w:t>prema dosadašnjoj realizaciji i planu do kraja 2024. godine.</w:t>
      </w:r>
    </w:p>
    <w:p w14:paraId="3527FB90" w14:textId="77777777" w:rsidR="002A2C3B" w:rsidRPr="00985D0A" w:rsidRDefault="002A2C3B" w:rsidP="002A2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F41A678" w14:textId="6D15BBFF" w:rsidR="00215278" w:rsidRPr="00985D0A" w:rsidRDefault="00215278" w:rsidP="006215A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85D0A">
        <w:rPr>
          <w:rFonts w:ascii="Times New Roman" w:hAnsi="Times New Roman" w:cs="Times New Roman"/>
          <w:b/>
          <w:bCs/>
          <w:color w:val="000000" w:themeColor="text1"/>
        </w:rPr>
        <w:t>CILJEVI I POKAZATELJI USPJEŠNOSTI IZ AKATA STRATEŠKOG PLANIRANJA I GODIŠNJEG PLANA RADA</w:t>
      </w:r>
    </w:p>
    <w:p w14:paraId="2703B339" w14:textId="02FE4BC0" w:rsidR="00F0691B" w:rsidRPr="00985D0A" w:rsidRDefault="00215278" w:rsidP="004B0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5D0A">
        <w:rPr>
          <w:rFonts w:ascii="Times New Roman" w:hAnsi="Times New Roman" w:cs="Times New Roman"/>
          <w:color w:val="000000" w:themeColor="text1"/>
        </w:rPr>
        <w:t>Ishodište i pokazatelji na čemu se zasniva izračun potrebnih sredstava je Odluka Grada Koprivnice o mjerilima za financiranje decentraliziranih funkcija i Državni pedagoški standard osnovnoškolskog sustava odgoja i obrazovanja čiji temelji se nalaze u Zakonu o odgoju i obrazovanju u osnovnoj i srednjoj školi. Državni pedagoški standard opisuje mjerila za prostor i opremu u osnovnoj školi. Svi naši planovi temeljeni su na tome, a naravno da  naši planovi „ovise“ o mogućnosti financiranja našeg osnivača.</w:t>
      </w:r>
    </w:p>
    <w:p w14:paraId="6D67496C" w14:textId="77777777" w:rsidR="00C161A4" w:rsidRPr="00985D0A" w:rsidRDefault="00C161A4" w:rsidP="004B0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6E80A4" w14:textId="519C6698" w:rsidR="00F0691B" w:rsidRPr="00985D0A" w:rsidRDefault="00F0691B" w:rsidP="004B0F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85D0A">
        <w:rPr>
          <w:rFonts w:ascii="Times New Roman" w:hAnsi="Times New Roman" w:cs="Times New Roman"/>
          <w:b/>
          <w:bCs/>
          <w:color w:val="000000" w:themeColor="text1"/>
        </w:rPr>
        <w:t xml:space="preserve">CILJ: Održavanje kvalitete zaposlenog kolektiva </w:t>
      </w:r>
    </w:p>
    <w:p w14:paraId="7818A9F6" w14:textId="64BCA98B" w:rsidR="00F0691B" w:rsidRPr="00985D0A" w:rsidRDefault="00F0691B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85D0A">
        <w:rPr>
          <w:rFonts w:ascii="Times New Roman" w:hAnsi="Times New Roman" w:cs="Times New Roman"/>
          <w:color w:val="000000" w:themeColor="text1"/>
        </w:rPr>
        <w:t xml:space="preserve">Ovaj cilj nastoji se postići održavanjem broja programa stručnog usavršavanja koje pohađaju svi </w:t>
      </w:r>
      <w:r w:rsidR="00004D85" w:rsidRPr="00985D0A">
        <w:rPr>
          <w:rFonts w:ascii="Times New Roman" w:hAnsi="Times New Roman" w:cs="Times New Roman"/>
          <w:color w:val="000000" w:themeColor="text1"/>
        </w:rPr>
        <w:t>učitelji i stručni suradnici</w:t>
      </w:r>
      <w:r w:rsidRPr="00985D0A">
        <w:rPr>
          <w:rFonts w:ascii="Times New Roman" w:hAnsi="Times New Roman" w:cs="Times New Roman"/>
          <w:color w:val="000000" w:themeColor="text1"/>
        </w:rPr>
        <w:t xml:space="preserve"> škole čime se povećava kvaliteta provođenja obrazovanja unutar ustanove.</w:t>
      </w:r>
    </w:p>
    <w:p w14:paraId="01908A92" w14:textId="2120BB16" w:rsidR="00215278" w:rsidRPr="00985D0A" w:rsidRDefault="00215278" w:rsidP="004B0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985D0A" w:rsidRPr="00985D0A" w14:paraId="373B454B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45C8AD56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3EAE87EC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8A12DBE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6A64B706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4CE5BB0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6BA0481A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EFAED20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7B67E32D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B832D9B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527981AD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77A3C0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15D1E4E7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985D0A" w14:paraId="76282FD3" w14:textId="77777777" w:rsidTr="004C1F77">
        <w:tc>
          <w:tcPr>
            <w:tcW w:w="1673" w:type="dxa"/>
            <w:shd w:val="clear" w:color="auto" w:fill="auto"/>
          </w:tcPr>
          <w:p w14:paraId="77DE0F0E" w14:textId="0F8AC11D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Učitelji i stručni suradnici  pohađali su programe usavršavanja koje donosi ministar nadležan za obrazovanje</w:t>
            </w:r>
          </w:p>
        </w:tc>
        <w:tc>
          <w:tcPr>
            <w:tcW w:w="2580" w:type="dxa"/>
            <w:shd w:val="clear" w:color="auto" w:fill="auto"/>
          </w:tcPr>
          <w:p w14:paraId="1CF490DD" w14:textId="582ED3B2" w:rsidR="004C1F77" w:rsidRPr="00985D0A" w:rsidRDefault="004C1F77" w:rsidP="0021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Pohađanjem seminara i radionica radi se na profesionalnom rastu i razvoju učitelja i stručnih suradnika koji je neophodan za kvalitetno provođenje osnovnoškolskog odgoja i obrazovanja</w:t>
            </w:r>
          </w:p>
        </w:tc>
        <w:tc>
          <w:tcPr>
            <w:tcW w:w="1134" w:type="dxa"/>
            <w:shd w:val="clear" w:color="auto" w:fill="auto"/>
          </w:tcPr>
          <w:p w14:paraId="39BF830D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74D1A9A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67C305FB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6D661CAA" w14:textId="6695BC18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   % </w:t>
            </w:r>
          </w:p>
        </w:tc>
        <w:tc>
          <w:tcPr>
            <w:tcW w:w="1134" w:type="dxa"/>
            <w:shd w:val="clear" w:color="auto" w:fill="auto"/>
          </w:tcPr>
          <w:p w14:paraId="0166904F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6BAE590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B05AE5D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3FEFE0E" w14:textId="0E610C31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68651183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85DB1CC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D7AA578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352AB593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6C433FAF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6AEF2039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2B40A17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FF3F708" w14:textId="205F1BDD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95</w:t>
            </w:r>
          </w:p>
        </w:tc>
      </w:tr>
    </w:tbl>
    <w:p w14:paraId="6946B66A" w14:textId="3DFA11D5" w:rsidR="008A25E8" w:rsidRPr="00985D0A" w:rsidRDefault="008A25E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hr-HR"/>
        </w:rPr>
      </w:pPr>
      <w:r w:rsidRPr="00985D0A">
        <w:rPr>
          <w:rFonts w:ascii="Times New Roman" w:eastAsia="Times New Roman" w:hAnsi="Times New Roman" w:cs="Times New Roman"/>
          <w:bCs/>
          <w:color w:val="FF0000"/>
          <w:lang w:eastAsia="hr-HR"/>
        </w:rPr>
        <w:tab/>
      </w:r>
    </w:p>
    <w:p w14:paraId="587B114D" w14:textId="07CA55DB" w:rsidR="000067BC" w:rsidRPr="00985D0A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985D0A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PROGRAM: 3003 DODATNI PROGRAM ODGOJA I OBRAZOVANJA</w:t>
      </w:r>
    </w:p>
    <w:p w14:paraId="41CEB6A1" w14:textId="6B19D130" w:rsidR="00B249FC" w:rsidRPr="00985D0A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985D0A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       </w:t>
      </w:r>
    </w:p>
    <w:p w14:paraId="4FA8A6B4" w14:textId="2B0CA414" w:rsidR="00B249FC" w:rsidRPr="00790BEE" w:rsidRDefault="00B249FC" w:rsidP="00C05668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85D0A">
        <w:rPr>
          <w:rFonts w:ascii="Times New Roman" w:hAnsi="Times New Roman" w:cs="Times New Roman"/>
          <w:b/>
          <w:bCs/>
          <w:iCs/>
          <w:color w:val="000000" w:themeColor="text1"/>
        </w:rPr>
        <w:t>Program 3003 DODATNI PROGRAMI ODGOJA I OBRAZOVANJA</w:t>
      </w:r>
      <w:r w:rsidRPr="00985D0A">
        <w:rPr>
          <w:rFonts w:ascii="Times New Roman" w:hAnsi="Times New Roman" w:cs="Times New Roman"/>
          <w:color w:val="000000" w:themeColor="text1"/>
        </w:rPr>
        <w:t xml:space="preserve"> ima za cilj zadovoljavanje potreba iznad državnog standarda aktivnostima koje osiguravaju kvalitetniji sustav u ovim područjima preko programa praćenja i financiranja izvannastavnih aktivnosti, školskih natjecanja, potpore pomoćnika u nastavi, učeničke zadrug</w:t>
      </w:r>
      <w:r w:rsidR="00E00571" w:rsidRPr="00985D0A">
        <w:rPr>
          <w:rFonts w:ascii="Times New Roman" w:hAnsi="Times New Roman" w:cs="Times New Roman"/>
          <w:color w:val="000000" w:themeColor="text1"/>
        </w:rPr>
        <w:t>e</w:t>
      </w:r>
      <w:r w:rsidR="000067BC" w:rsidRPr="00985D0A">
        <w:rPr>
          <w:rFonts w:ascii="Times New Roman" w:hAnsi="Times New Roman" w:cs="Times New Roman"/>
          <w:color w:val="000000" w:themeColor="text1"/>
        </w:rPr>
        <w:t>, EU projekata,</w:t>
      </w:r>
      <w:r w:rsidR="00E00571" w:rsidRPr="00985D0A">
        <w:rPr>
          <w:rFonts w:ascii="Times New Roman" w:hAnsi="Times New Roman" w:cs="Times New Roman"/>
          <w:color w:val="000000" w:themeColor="text1"/>
        </w:rPr>
        <w:t xml:space="preserve"> odnosno osiguravanje jednakih uvjeta za </w:t>
      </w:r>
      <w:r w:rsidR="00E00571" w:rsidRPr="00790BEE">
        <w:rPr>
          <w:rFonts w:ascii="Times New Roman" w:hAnsi="Times New Roman" w:cs="Times New Roman"/>
          <w:color w:val="000000" w:themeColor="text1"/>
        </w:rPr>
        <w:t>napredovanje svih učenika.</w:t>
      </w:r>
    </w:p>
    <w:p w14:paraId="1FFB9C26" w14:textId="77777777" w:rsidR="00205206" w:rsidRPr="00790BEE" w:rsidRDefault="00205206" w:rsidP="00B249FC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54A361C" w14:textId="158597A2" w:rsidR="00C8389E" w:rsidRDefault="00A21CB8" w:rsidP="00C8389E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790BEE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Procjena i ishodište potrebnih sredstava</w:t>
      </w:r>
      <w:r w:rsidR="00131768" w:rsidRPr="00790BEE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za aktivnosti</w:t>
      </w:r>
    </w:p>
    <w:tbl>
      <w:tblPr>
        <w:tblStyle w:val="Reetkatablice"/>
        <w:tblpPr w:leftFromText="180" w:rightFromText="180" w:vertAnchor="text" w:horzAnchor="margin" w:tblpXSpec="center" w:tblpY="24"/>
        <w:tblOverlap w:val="never"/>
        <w:tblW w:w="9639" w:type="dxa"/>
        <w:jc w:val="center"/>
        <w:tblLook w:val="04A0" w:firstRow="1" w:lastRow="0" w:firstColumn="1" w:lastColumn="0" w:noHBand="0" w:noVBand="1"/>
      </w:tblPr>
      <w:tblGrid>
        <w:gridCol w:w="3110"/>
        <w:gridCol w:w="1187"/>
        <w:gridCol w:w="1403"/>
        <w:gridCol w:w="1262"/>
        <w:gridCol w:w="1341"/>
        <w:gridCol w:w="1336"/>
      </w:tblGrid>
      <w:tr w:rsidR="00DC16A7" w:rsidRPr="00790BEE" w14:paraId="3C08C5B0" w14:textId="77777777" w:rsidTr="00DC16A7">
        <w:trPr>
          <w:cantSplit/>
          <w:trHeight w:val="416"/>
          <w:tblHeader/>
          <w:jc w:val="center"/>
        </w:trPr>
        <w:tc>
          <w:tcPr>
            <w:tcW w:w="2972" w:type="dxa"/>
            <w:vAlign w:val="center"/>
          </w:tcPr>
          <w:p w14:paraId="41C501AC" w14:textId="77777777" w:rsidR="00DC16A7" w:rsidRPr="00790BEE" w:rsidRDefault="00DC16A7" w:rsidP="00DC16A7">
            <w:pPr>
              <w:jc w:val="center"/>
              <w:rPr>
                <w:b/>
                <w:color w:val="000000" w:themeColor="text1"/>
              </w:rPr>
            </w:pPr>
            <w:r w:rsidRPr="00790BEE">
              <w:rPr>
                <w:b/>
                <w:color w:val="000000" w:themeColor="text1"/>
              </w:rPr>
              <w:t>Naziv aktivnosti</w:t>
            </w:r>
          </w:p>
        </w:tc>
        <w:tc>
          <w:tcPr>
            <w:tcW w:w="1134" w:type="dxa"/>
            <w:vAlign w:val="center"/>
          </w:tcPr>
          <w:p w14:paraId="3DDE0976" w14:textId="77777777" w:rsidR="00DC16A7" w:rsidRPr="00790BEE" w:rsidRDefault="00DC16A7" w:rsidP="00DC16A7">
            <w:pPr>
              <w:jc w:val="center"/>
              <w:rPr>
                <w:b/>
                <w:color w:val="000000" w:themeColor="text1"/>
              </w:rPr>
            </w:pPr>
            <w:r w:rsidRPr="00790BEE">
              <w:rPr>
                <w:b/>
                <w:color w:val="000000" w:themeColor="text1"/>
              </w:rPr>
              <w:t>Plan za 2024.</w:t>
            </w:r>
          </w:p>
        </w:tc>
        <w:tc>
          <w:tcPr>
            <w:tcW w:w="1340" w:type="dxa"/>
            <w:vAlign w:val="center"/>
          </w:tcPr>
          <w:p w14:paraId="0A1DD5E1" w14:textId="77777777" w:rsidR="00DC16A7" w:rsidRPr="00790BEE" w:rsidRDefault="00DC16A7" w:rsidP="00DC16A7">
            <w:pPr>
              <w:jc w:val="center"/>
              <w:rPr>
                <w:b/>
                <w:color w:val="000000" w:themeColor="text1"/>
              </w:rPr>
            </w:pPr>
            <w:r w:rsidRPr="00790BEE">
              <w:rPr>
                <w:b/>
                <w:color w:val="000000" w:themeColor="text1"/>
              </w:rPr>
              <w:t>Povećanje / smanjenje</w:t>
            </w:r>
          </w:p>
        </w:tc>
        <w:tc>
          <w:tcPr>
            <w:tcW w:w="1206" w:type="dxa"/>
            <w:vAlign w:val="center"/>
          </w:tcPr>
          <w:p w14:paraId="35A2BC55" w14:textId="77777777" w:rsidR="00DC16A7" w:rsidRPr="00790BEE" w:rsidRDefault="00DC16A7" w:rsidP="00DC16A7">
            <w:pPr>
              <w:jc w:val="center"/>
              <w:rPr>
                <w:b/>
                <w:color w:val="000000" w:themeColor="text1"/>
              </w:rPr>
            </w:pPr>
            <w:r w:rsidRPr="00790BEE">
              <w:rPr>
                <w:b/>
                <w:color w:val="000000" w:themeColor="text1"/>
              </w:rPr>
              <w:t>I. Izmjene i dopune</w:t>
            </w:r>
          </w:p>
        </w:tc>
        <w:tc>
          <w:tcPr>
            <w:tcW w:w="1281" w:type="dxa"/>
            <w:vAlign w:val="center"/>
          </w:tcPr>
          <w:p w14:paraId="3F1FC712" w14:textId="77777777" w:rsidR="00DC16A7" w:rsidRPr="00790BEE" w:rsidRDefault="00DC16A7" w:rsidP="00DC16A7">
            <w:pPr>
              <w:jc w:val="center"/>
              <w:rPr>
                <w:b/>
                <w:color w:val="000000" w:themeColor="text1"/>
              </w:rPr>
            </w:pPr>
            <w:r w:rsidRPr="00790BEE">
              <w:rPr>
                <w:b/>
                <w:color w:val="000000" w:themeColor="text1"/>
              </w:rPr>
              <w:t>Povećanje / smanjenje</w:t>
            </w:r>
          </w:p>
        </w:tc>
        <w:tc>
          <w:tcPr>
            <w:tcW w:w="1276" w:type="dxa"/>
            <w:vAlign w:val="center"/>
          </w:tcPr>
          <w:p w14:paraId="4124CE3D" w14:textId="77777777" w:rsidR="00DC16A7" w:rsidRPr="00790BEE" w:rsidRDefault="00DC16A7" w:rsidP="00DC16A7">
            <w:pPr>
              <w:jc w:val="center"/>
              <w:rPr>
                <w:b/>
                <w:color w:val="000000" w:themeColor="text1"/>
              </w:rPr>
            </w:pPr>
            <w:r w:rsidRPr="00790BEE">
              <w:rPr>
                <w:b/>
                <w:color w:val="000000" w:themeColor="text1"/>
              </w:rPr>
              <w:t>II. Izmjene i dopune</w:t>
            </w:r>
          </w:p>
        </w:tc>
      </w:tr>
      <w:tr w:rsidR="00DC16A7" w:rsidRPr="00790BEE" w14:paraId="7F638D17" w14:textId="77777777" w:rsidTr="00DC16A7">
        <w:trPr>
          <w:cantSplit/>
          <w:trHeight w:val="383"/>
          <w:tblHeader/>
          <w:jc w:val="center"/>
        </w:trPr>
        <w:tc>
          <w:tcPr>
            <w:tcW w:w="2972" w:type="dxa"/>
            <w:vAlign w:val="center"/>
          </w:tcPr>
          <w:p w14:paraId="3794CE60" w14:textId="63D676D5" w:rsidR="00DC16A7" w:rsidRPr="00790BEE" w:rsidRDefault="00DC16A7" w:rsidP="00DC16A7">
            <w:pPr>
              <w:spacing w:line="240" w:lineRule="auto"/>
              <w:jc w:val="both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A300317</w:t>
            </w:r>
            <w:r>
              <w:rPr>
                <w:bCs/>
                <w:color w:val="000000" w:themeColor="text1"/>
              </w:rPr>
              <w:t xml:space="preserve"> </w:t>
            </w:r>
            <w:r w:rsidRPr="00790BEE">
              <w:rPr>
                <w:bCs/>
                <w:color w:val="000000" w:themeColor="text1"/>
              </w:rPr>
              <w:t>Redovna djelatnost osnovnih škola</w:t>
            </w:r>
          </w:p>
        </w:tc>
        <w:tc>
          <w:tcPr>
            <w:tcW w:w="1134" w:type="dxa"/>
            <w:vAlign w:val="center"/>
          </w:tcPr>
          <w:p w14:paraId="62BDFFC1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39.000,00</w:t>
            </w:r>
          </w:p>
        </w:tc>
        <w:tc>
          <w:tcPr>
            <w:tcW w:w="1340" w:type="dxa"/>
            <w:vAlign w:val="center"/>
          </w:tcPr>
          <w:p w14:paraId="2E0988E0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89.478,00</w:t>
            </w:r>
          </w:p>
        </w:tc>
        <w:tc>
          <w:tcPr>
            <w:tcW w:w="1206" w:type="dxa"/>
            <w:vAlign w:val="center"/>
          </w:tcPr>
          <w:p w14:paraId="3ED4B338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128.478,00</w:t>
            </w:r>
          </w:p>
        </w:tc>
        <w:tc>
          <w:tcPr>
            <w:tcW w:w="1281" w:type="dxa"/>
            <w:vAlign w:val="center"/>
          </w:tcPr>
          <w:p w14:paraId="00EC4DE1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-9.482,00</w:t>
            </w:r>
          </w:p>
        </w:tc>
        <w:tc>
          <w:tcPr>
            <w:tcW w:w="1276" w:type="dxa"/>
            <w:vAlign w:val="center"/>
          </w:tcPr>
          <w:p w14:paraId="04745EC0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118.996,00</w:t>
            </w:r>
          </w:p>
        </w:tc>
      </w:tr>
      <w:tr w:rsidR="00DC16A7" w:rsidRPr="00790BEE" w14:paraId="494D8C61" w14:textId="77777777" w:rsidTr="00DC16A7">
        <w:trPr>
          <w:cantSplit/>
          <w:tblHeader/>
          <w:jc w:val="center"/>
        </w:trPr>
        <w:tc>
          <w:tcPr>
            <w:tcW w:w="2972" w:type="dxa"/>
            <w:vAlign w:val="center"/>
          </w:tcPr>
          <w:p w14:paraId="2928B08A" w14:textId="48F7961E" w:rsidR="00DC16A7" w:rsidRPr="00790BEE" w:rsidRDefault="00DC16A7" w:rsidP="00DC16A7">
            <w:pPr>
              <w:spacing w:after="0" w:line="240" w:lineRule="auto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A300306 Slobodne aktivnosti i školska natjecanja</w:t>
            </w:r>
          </w:p>
        </w:tc>
        <w:tc>
          <w:tcPr>
            <w:tcW w:w="1134" w:type="dxa"/>
            <w:vAlign w:val="center"/>
          </w:tcPr>
          <w:p w14:paraId="1909580E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12.810,00</w:t>
            </w:r>
          </w:p>
        </w:tc>
        <w:tc>
          <w:tcPr>
            <w:tcW w:w="1340" w:type="dxa"/>
            <w:vAlign w:val="center"/>
          </w:tcPr>
          <w:p w14:paraId="1683D439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2.740,00</w:t>
            </w:r>
          </w:p>
        </w:tc>
        <w:tc>
          <w:tcPr>
            <w:tcW w:w="1206" w:type="dxa"/>
            <w:vAlign w:val="center"/>
          </w:tcPr>
          <w:p w14:paraId="5A715EF4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15.550,00</w:t>
            </w:r>
          </w:p>
        </w:tc>
        <w:tc>
          <w:tcPr>
            <w:tcW w:w="1281" w:type="dxa"/>
            <w:vAlign w:val="center"/>
          </w:tcPr>
          <w:p w14:paraId="4A54A516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-153,00</w:t>
            </w:r>
          </w:p>
        </w:tc>
        <w:tc>
          <w:tcPr>
            <w:tcW w:w="1276" w:type="dxa"/>
            <w:vAlign w:val="center"/>
          </w:tcPr>
          <w:p w14:paraId="2C4E0CCB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15.397,00</w:t>
            </w:r>
          </w:p>
        </w:tc>
      </w:tr>
      <w:tr w:rsidR="00DC16A7" w:rsidRPr="00790BEE" w14:paraId="28DA6F58" w14:textId="77777777" w:rsidTr="00DC16A7">
        <w:trPr>
          <w:cantSplit/>
          <w:tblHeader/>
          <w:jc w:val="center"/>
        </w:trPr>
        <w:tc>
          <w:tcPr>
            <w:tcW w:w="2972" w:type="dxa"/>
            <w:vAlign w:val="center"/>
          </w:tcPr>
          <w:p w14:paraId="3F0F4DC3" w14:textId="5D46E366" w:rsidR="00DC16A7" w:rsidRPr="00790BEE" w:rsidRDefault="00DC16A7" w:rsidP="00DC16A7">
            <w:pPr>
              <w:spacing w:after="0" w:line="240" w:lineRule="auto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 xml:space="preserve">A300323 Unapređenje standarda u školama – izvor </w:t>
            </w:r>
            <w:r>
              <w:rPr>
                <w:bCs/>
                <w:color w:val="000000" w:themeColor="text1"/>
              </w:rPr>
              <w:t>VP</w:t>
            </w:r>
          </w:p>
        </w:tc>
        <w:tc>
          <w:tcPr>
            <w:tcW w:w="1134" w:type="dxa"/>
            <w:vAlign w:val="center"/>
          </w:tcPr>
          <w:p w14:paraId="49271A97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75.556,00</w:t>
            </w:r>
          </w:p>
        </w:tc>
        <w:tc>
          <w:tcPr>
            <w:tcW w:w="1340" w:type="dxa"/>
            <w:vAlign w:val="center"/>
          </w:tcPr>
          <w:p w14:paraId="7C33EA25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8.264,00</w:t>
            </w:r>
          </w:p>
        </w:tc>
        <w:tc>
          <w:tcPr>
            <w:tcW w:w="1206" w:type="dxa"/>
            <w:vAlign w:val="center"/>
          </w:tcPr>
          <w:p w14:paraId="6EAA7EBB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83.820,00</w:t>
            </w:r>
          </w:p>
        </w:tc>
        <w:tc>
          <w:tcPr>
            <w:tcW w:w="1281" w:type="dxa"/>
            <w:vAlign w:val="center"/>
          </w:tcPr>
          <w:p w14:paraId="1DCCBE5A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2.038,00</w:t>
            </w:r>
          </w:p>
        </w:tc>
        <w:tc>
          <w:tcPr>
            <w:tcW w:w="1276" w:type="dxa"/>
            <w:vAlign w:val="center"/>
          </w:tcPr>
          <w:p w14:paraId="52AF4442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85.858,00</w:t>
            </w:r>
          </w:p>
        </w:tc>
      </w:tr>
      <w:tr w:rsidR="00DC16A7" w:rsidRPr="00790BEE" w14:paraId="4308722E" w14:textId="77777777" w:rsidTr="00DC16A7">
        <w:trPr>
          <w:cantSplit/>
          <w:trHeight w:val="335"/>
          <w:tblHeader/>
          <w:jc w:val="center"/>
        </w:trPr>
        <w:tc>
          <w:tcPr>
            <w:tcW w:w="2972" w:type="dxa"/>
            <w:vAlign w:val="center"/>
          </w:tcPr>
          <w:p w14:paraId="5EEE54DD" w14:textId="038EAC7B" w:rsidR="00DC16A7" w:rsidRPr="00790BEE" w:rsidRDefault="00DC16A7" w:rsidP="00DC16A7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A300330 Mentorstvo</w:t>
            </w:r>
          </w:p>
        </w:tc>
        <w:tc>
          <w:tcPr>
            <w:tcW w:w="1134" w:type="dxa"/>
            <w:vAlign w:val="center"/>
          </w:tcPr>
          <w:p w14:paraId="783A9094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346,00</w:t>
            </w:r>
          </w:p>
        </w:tc>
        <w:tc>
          <w:tcPr>
            <w:tcW w:w="1340" w:type="dxa"/>
            <w:vAlign w:val="center"/>
          </w:tcPr>
          <w:p w14:paraId="79C965FD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-173,00</w:t>
            </w:r>
          </w:p>
        </w:tc>
        <w:tc>
          <w:tcPr>
            <w:tcW w:w="1206" w:type="dxa"/>
            <w:vAlign w:val="center"/>
          </w:tcPr>
          <w:p w14:paraId="3E5A8E3A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173,00</w:t>
            </w:r>
          </w:p>
        </w:tc>
        <w:tc>
          <w:tcPr>
            <w:tcW w:w="1281" w:type="dxa"/>
            <w:vAlign w:val="center"/>
          </w:tcPr>
          <w:p w14:paraId="330F0F87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63D37A51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173,00</w:t>
            </w:r>
          </w:p>
        </w:tc>
      </w:tr>
      <w:tr w:rsidR="00DC16A7" w:rsidRPr="00790BEE" w14:paraId="129D703A" w14:textId="77777777" w:rsidTr="00DC16A7">
        <w:trPr>
          <w:cantSplit/>
          <w:tblHeader/>
          <w:jc w:val="center"/>
        </w:trPr>
        <w:tc>
          <w:tcPr>
            <w:tcW w:w="2972" w:type="dxa"/>
            <w:vAlign w:val="center"/>
          </w:tcPr>
          <w:p w14:paraId="3611391C" w14:textId="137B97CB" w:rsidR="00DC16A7" w:rsidRPr="00790BEE" w:rsidRDefault="00DC16A7" w:rsidP="00DC16A7">
            <w:pPr>
              <w:spacing w:after="0" w:line="240" w:lineRule="auto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A300332 EU projekti</w:t>
            </w:r>
          </w:p>
        </w:tc>
        <w:tc>
          <w:tcPr>
            <w:tcW w:w="1134" w:type="dxa"/>
            <w:vAlign w:val="center"/>
          </w:tcPr>
          <w:p w14:paraId="4DC8BE50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2.660,00</w:t>
            </w:r>
          </w:p>
        </w:tc>
        <w:tc>
          <w:tcPr>
            <w:tcW w:w="1340" w:type="dxa"/>
            <w:vAlign w:val="center"/>
          </w:tcPr>
          <w:p w14:paraId="2939E66B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6" w:type="dxa"/>
            <w:vAlign w:val="center"/>
          </w:tcPr>
          <w:p w14:paraId="2D496B2B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2.660,00</w:t>
            </w:r>
          </w:p>
        </w:tc>
        <w:tc>
          <w:tcPr>
            <w:tcW w:w="1281" w:type="dxa"/>
            <w:vAlign w:val="center"/>
          </w:tcPr>
          <w:p w14:paraId="74A1115B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-2.660,00</w:t>
            </w:r>
          </w:p>
        </w:tc>
        <w:tc>
          <w:tcPr>
            <w:tcW w:w="1276" w:type="dxa"/>
            <w:vAlign w:val="center"/>
          </w:tcPr>
          <w:p w14:paraId="6223CDDD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C16A7" w:rsidRPr="00790BEE" w14:paraId="220739F5" w14:textId="77777777" w:rsidTr="00DC16A7">
        <w:trPr>
          <w:cantSplit/>
          <w:trHeight w:val="436"/>
          <w:tblHeader/>
          <w:jc w:val="center"/>
        </w:trPr>
        <w:tc>
          <w:tcPr>
            <w:tcW w:w="2972" w:type="dxa"/>
            <w:vAlign w:val="center"/>
          </w:tcPr>
          <w:p w14:paraId="3CE72BD9" w14:textId="077B0790" w:rsidR="00DC16A7" w:rsidRPr="00790BEE" w:rsidRDefault="00DC16A7" w:rsidP="00DC16A7">
            <w:pPr>
              <w:spacing w:after="0" w:line="240" w:lineRule="auto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A300356 ODJEK VI</w:t>
            </w:r>
            <w:r>
              <w:rPr>
                <w:bCs/>
                <w:color w:val="000000" w:themeColor="text1"/>
              </w:rPr>
              <w:t xml:space="preserve"> </w:t>
            </w:r>
            <w:r w:rsidRPr="00790BEE">
              <w:rPr>
                <w:bCs/>
                <w:color w:val="000000" w:themeColor="text1"/>
              </w:rPr>
              <w:t xml:space="preserve">2023./2024. </w:t>
            </w:r>
          </w:p>
        </w:tc>
        <w:tc>
          <w:tcPr>
            <w:tcW w:w="1134" w:type="dxa"/>
            <w:vAlign w:val="center"/>
          </w:tcPr>
          <w:p w14:paraId="0B8A0850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61.145,00</w:t>
            </w:r>
          </w:p>
        </w:tc>
        <w:tc>
          <w:tcPr>
            <w:tcW w:w="1340" w:type="dxa"/>
            <w:vAlign w:val="center"/>
          </w:tcPr>
          <w:p w14:paraId="496DAECB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14.486,00</w:t>
            </w:r>
          </w:p>
        </w:tc>
        <w:tc>
          <w:tcPr>
            <w:tcW w:w="1206" w:type="dxa"/>
            <w:vAlign w:val="center"/>
          </w:tcPr>
          <w:p w14:paraId="0FD77166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75.631,00</w:t>
            </w:r>
          </w:p>
        </w:tc>
        <w:tc>
          <w:tcPr>
            <w:tcW w:w="1281" w:type="dxa"/>
            <w:vAlign w:val="center"/>
          </w:tcPr>
          <w:p w14:paraId="57260CC0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-6.005,00</w:t>
            </w:r>
          </w:p>
        </w:tc>
        <w:tc>
          <w:tcPr>
            <w:tcW w:w="1276" w:type="dxa"/>
            <w:vAlign w:val="center"/>
          </w:tcPr>
          <w:p w14:paraId="69C41284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69.626,00</w:t>
            </w:r>
          </w:p>
        </w:tc>
      </w:tr>
      <w:tr w:rsidR="00DC16A7" w:rsidRPr="00790BEE" w14:paraId="2E1D1487" w14:textId="77777777" w:rsidTr="00DC16A7">
        <w:trPr>
          <w:cantSplit/>
          <w:trHeight w:val="412"/>
          <w:tblHeader/>
          <w:jc w:val="center"/>
        </w:trPr>
        <w:tc>
          <w:tcPr>
            <w:tcW w:w="2972" w:type="dxa"/>
            <w:vAlign w:val="center"/>
          </w:tcPr>
          <w:p w14:paraId="0A4723FB" w14:textId="0DDD4611" w:rsidR="00DC16A7" w:rsidRPr="00790BEE" w:rsidRDefault="00DC16A7" w:rsidP="00DC16A7">
            <w:pPr>
              <w:spacing w:after="0" w:line="240" w:lineRule="auto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A300355 Učenička zadruga „Vretence“</w:t>
            </w:r>
          </w:p>
        </w:tc>
        <w:tc>
          <w:tcPr>
            <w:tcW w:w="1134" w:type="dxa"/>
            <w:vAlign w:val="center"/>
          </w:tcPr>
          <w:p w14:paraId="663BFB98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2.060,00</w:t>
            </w:r>
          </w:p>
        </w:tc>
        <w:tc>
          <w:tcPr>
            <w:tcW w:w="1340" w:type="dxa"/>
            <w:vAlign w:val="center"/>
          </w:tcPr>
          <w:p w14:paraId="262FE4E4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6" w:type="dxa"/>
            <w:vAlign w:val="center"/>
          </w:tcPr>
          <w:p w14:paraId="166CBD2C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2.060,00</w:t>
            </w:r>
          </w:p>
        </w:tc>
        <w:tc>
          <w:tcPr>
            <w:tcW w:w="1281" w:type="dxa"/>
            <w:vAlign w:val="center"/>
          </w:tcPr>
          <w:p w14:paraId="64A1F941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34E41C43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2.060,00</w:t>
            </w:r>
          </w:p>
        </w:tc>
      </w:tr>
      <w:tr w:rsidR="00DC16A7" w:rsidRPr="00790BEE" w14:paraId="17768134" w14:textId="77777777" w:rsidTr="00DC16A7">
        <w:trPr>
          <w:cantSplit/>
          <w:trHeight w:val="422"/>
          <w:tblHeader/>
          <w:jc w:val="center"/>
        </w:trPr>
        <w:tc>
          <w:tcPr>
            <w:tcW w:w="2972" w:type="dxa"/>
            <w:vAlign w:val="center"/>
          </w:tcPr>
          <w:p w14:paraId="2CA93EE2" w14:textId="5F3D27DF" w:rsidR="00DC16A7" w:rsidRPr="00790BEE" w:rsidRDefault="00DC16A7" w:rsidP="00DC16A7">
            <w:pPr>
              <w:spacing w:after="0" w:line="240" w:lineRule="auto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 xml:space="preserve">A300359 ODJEK VII 2024./2025. </w:t>
            </w:r>
          </w:p>
        </w:tc>
        <w:tc>
          <w:tcPr>
            <w:tcW w:w="1134" w:type="dxa"/>
            <w:vAlign w:val="center"/>
          </w:tcPr>
          <w:p w14:paraId="73DE34A6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44.235,00</w:t>
            </w:r>
          </w:p>
        </w:tc>
        <w:tc>
          <w:tcPr>
            <w:tcW w:w="1340" w:type="dxa"/>
            <w:vAlign w:val="center"/>
          </w:tcPr>
          <w:p w14:paraId="2E96A843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12.796,00</w:t>
            </w:r>
          </w:p>
        </w:tc>
        <w:tc>
          <w:tcPr>
            <w:tcW w:w="1206" w:type="dxa"/>
            <w:vAlign w:val="center"/>
          </w:tcPr>
          <w:p w14:paraId="64C1D1CD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57.031,00</w:t>
            </w:r>
          </w:p>
        </w:tc>
        <w:tc>
          <w:tcPr>
            <w:tcW w:w="1281" w:type="dxa"/>
            <w:vAlign w:val="center"/>
          </w:tcPr>
          <w:p w14:paraId="7A9A9FE7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13.931,00</w:t>
            </w:r>
          </w:p>
        </w:tc>
        <w:tc>
          <w:tcPr>
            <w:tcW w:w="1276" w:type="dxa"/>
            <w:vAlign w:val="center"/>
          </w:tcPr>
          <w:p w14:paraId="18F5597B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70.962,00</w:t>
            </w:r>
          </w:p>
        </w:tc>
      </w:tr>
      <w:tr w:rsidR="00DC16A7" w:rsidRPr="00790BEE" w14:paraId="45221E77" w14:textId="77777777" w:rsidTr="00DC16A7">
        <w:trPr>
          <w:cantSplit/>
          <w:trHeight w:val="269"/>
          <w:tblHeader/>
          <w:jc w:val="center"/>
        </w:trPr>
        <w:tc>
          <w:tcPr>
            <w:tcW w:w="2972" w:type="dxa"/>
            <w:vAlign w:val="center"/>
          </w:tcPr>
          <w:p w14:paraId="3847603D" w14:textId="77777777" w:rsidR="00DC16A7" w:rsidRPr="00790BEE" w:rsidRDefault="00DC16A7" w:rsidP="00DC16A7">
            <w:pPr>
              <w:spacing w:after="0" w:line="240" w:lineRule="auto"/>
              <w:rPr>
                <w:b/>
                <w:color w:val="000000" w:themeColor="text1"/>
              </w:rPr>
            </w:pPr>
            <w:r w:rsidRPr="00790BEE">
              <w:rPr>
                <w:b/>
                <w:color w:val="000000" w:themeColor="text1"/>
              </w:rPr>
              <w:t xml:space="preserve">UKUPNO: </w:t>
            </w:r>
          </w:p>
        </w:tc>
        <w:tc>
          <w:tcPr>
            <w:tcW w:w="1134" w:type="dxa"/>
            <w:vAlign w:val="center"/>
          </w:tcPr>
          <w:p w14:paraId="2543CE6B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237.812,00</w:t>
            </w:r>
          </w:p>
        </w:tc>
        <w:tc>
          <w:tcPr>
            <w:tcW w:w="1340" w:type="dxa"/>
            <w:vAlign w:val="center"/>
          </w:tcPr>
          <w:p w14:paraId="35529293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127.591,00</w:t>
            </w:r>
          </w:p>
        </w:tc>
        <w:tc>
          <w:tcPr>
            <w:tcW w:w="1206" w:type="dxa"/>
            <w:vAlign w:val="center"/>
          </w:tcPr>
          <w:p w14:paraId="3BCDD19E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365.403,00</w:t>
            </w:r>
          </w:p>
        </w:tc>
        <w:tc>
          <w:tcPr>
            <w:tcW w:w="1281" w:type="dxa"/>
            <w:vAlign w:val="center"/>
          </w:tcPr>
          <w:p w14:paraId="61EF676C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90BEE">
              <w:rPr>
                <w:bCs/>
                <w:color w:val="000000" w:themeColor="text1"/>
                <w:sz w:val="22"/>
                <w:szCs w:val="22"/>
              </w:rPr>
              <w:t>-2.331,00</w:t>
            </w:r>
          </w:p>
        </w:tc>
        <w:tc>
          <w:tcPr>
            <w:tcW w:w="1276" w:type="dxa"/>
            <w:vAlign w:val="center"/>
          </w:tcPr>
          <w:p w14:paraId="385F8FF3" w14:textId="77777777" w:rsidR="00DC16A7" w:rsidRPr="00790BEE" w:rsidRDefault="00DC16A7" w:rsidP="00DC16A7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90BEE">
              <w:rPr>
                <w:bCs/>
                <w:color w:val="000000" w:themeColor="text1"/>
              </w:rPr>
              <w:t>363.072,00</w:t>
            </w:r>
          </w:p>
        </w:tc>
      </w:tr>
    </w:tbl>
    <w:p w14:paraId="5AF048B7" w14:textId="28E80FED" w:rsidR="00034FA0" w:rsidRPr="00985D0A" w:rsidRDefault="00FE7828" w:rsidP="00C8389E">
      <w:pPr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985D0A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 </w:t>
      </w:r>
    </w:p>
    <w:p w14:paraId="4C06052A" w14:textId="77777777" w:rsidR="00FF2CE2" w:rsidRPr="00AD26E0" w:rsidRDefault="00FE7828" w:rsidP="00FF2CE2">
      <w:pPr>
        <w:ind w:firstLine="360"/>
        <w:jc w:val="both"/>
        <w:rPr>
          <w:rFonts w:ascii="Times New Roman" w:hAnsi="Times New Roman" w:cs="Times New Roman"/>
          <w:b/>
        </w:rPr>
      </w:pPr>
      <w:r w:rsidRPr="00985D0A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="00FF2CE2" w:rsidRPr="00AD26E0">
        <w:rPr>
          <w:rFonts w:ascii="Times New Roman" w:hAnsi="Times New Roman" w:cs="Times New Roman"/>
          <w:b/>
        </w:rPr>
        <w:t>ZAKONSKE I DRUGE PODLOGE NA KOJIMA SE ZASNIVA PROGRAM</w:t>
      </w:r>
    </w:p>
    <w:p w14:paraId="1E010622" w14:textId="77777777" w:rsidR="00FF2CE2" w:rsidRPr="00AD26E0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AD26E0">
        <w:rPr>
          <w:rFonts w:ascii="Times New Roman" w:hAnsi="Times New Roman" w:cs="Times New Roman"/>
        </w:rPr>
        <w:t xml:space="preserve">155/23 i 156/23),  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28551314" w14:textId="77777777" w:rsidR="00FF2CE2" w:rsidRPr="00AD26E0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62C9C01A" w14:textId="77777777" w:rsidR="00FF2CE2" w:rsidRPr="00AD26E0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70DB9D7A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hAnsi="Times New Roman" w:cs="Times New Roman"/>
          <w:color w:val="000000" w:themeColor="text1"/>
        </w:rPr>
        <w:t>Zakon o javnoj nabavi (NN broj 120/16 i 114/22),</w:t>
      </w:r>
    </w:p>
    <w:p w14:paraId="34355113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Pravilnik o proračunskim klasifikacijama (NN broj 26/10, 120/13 i 1/20), Pravilnik o proračunskom računovodstvu i računskom planu (NN broj 124/14, 115/15, 87/16, 3/18, 126/19 i 108/20).</w:t>
      </w:r>
    </w:p>
    <w:p w14:paraId="7C741433" w14:textId="0A77DEA2" w:rsid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Pravilnik o financijskom izvještavanju u proračunskom računovodstvu (NN broj 37/22)</w:t>
      </w:r>
    </w:p>
    <w:p w14:paraId="33A4A0B4" w14:textId="652CFE08" w:rsidR="00D30748" w:rsidRPr="00D30748" w:rsidRDefault="00D30748" w:rsidP="00D307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D26362">
        <w:rPr>
          <w:rFonts w:ascii="Times New Roman" w:eastAsia="Times New Roman" w:hAnsi="Times New Roman" w:cs="Times New Roman"/>
          <w:lang w:eastAsia="hr-HR"/>
        </w:rPr>
        <w:t xml:space="preserve">Pravilnik o pomoćnicima u nastavi i stručnim komunikacijskim posrednicima (NN broj </w:t>
      </w:r>
      <w:r>
        <w:rPr>
          <w:rFonts w:ascii="Times New Roman" w:eastAsia="Times New Roman" w:hAnsi="Times New Roman" w:cs="Times New Roman"/>
          <w:lang w:eastAsia="hr-HR"/>
        </w:rPr>
        <w:t>85/2024.)</w:t>
      </w:r>
    </w:p>
    <w:p w14:paraId="0C37E19D" w14:textId="77777777" w:rsidR="00FF2CE2" w:rsidRPr="00FF2CE2" w:rsidRDefault="00FF2CE2" w:rsidP="00FF2CE2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Godišnji plan i program rada škole za školsku godinu 2023./2024. i 2024./2025. </w:t>
      </w:r>
    </w:p>
    <w:p w14:paraId="5319A2CE" w14:textId="40603AFC" w:rsidR="00C161A4" w:rsidRPr="00FC39EB" w:rsidRDefault="00FF2CE2" w:rsidP="00FF2CE2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color w:val="000000" w:themeColor="text1"/>
          <w:sz w:val="22"/>
          <w:szCs w:val="22"/>
          <w:lang w:eastAsia="en-US"/>
        </w:rPr>
      </w:pPr>
      <w:r w:rsidRPr="00FF2CE2">
        <w:rPr>
          <w:color w:val="000000" w:themeColor="text1"/>
          <w:sz w:val="22"/>
          <w:szCs w:val="22"/>
        </w:rPr>
        <w:t>Školski kurikulum OŠ „Braća Radić“, nastavne i izvannastavne aktivnosti za školsku godinu 2023./2024. i 2024./2025.</w:t>
      </w:r>
    </w:p>
    <w:p w14:paraId="46C39CF4" w14:textId="77777777" w:rsidR="00FC39EB" w:rsidRPr="00790BEE" w:rsidRDefault="00FC39EB" w:rsidP="00FC39EB">
      <w:pPr>
        <w:pStyle w:val="Odlomakpopisa"/>
        <w:ind w:left="720"/>
        <w:contextualSpacing/>
        <w:jc w:val="both"/>
        <w:rPr>
          <w:rFonts w:eastAsiaTheme="minorHAnsi"/>
          <w:iCs/>
          <w:color w:val="000000" w:themeColor="text1"/>
          <w:sz w:val="22"/>
          <w:szCs w:val="22"/>
          <w:lang w:eastAsia="en-US"/>
        </w:rPr>
      </w:pPr>
    </w:p>
    <w:p w14:paraId="31027231" w14:textId="1B34DFD9" w:rsidR="00FE7828" w:rsidRPr="00790BEE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790BEE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Aktivnost: A300317 Redovna djelatnost osnovnih škola</w:t>
      </w:r>
    </w:p>
    <w:p w14:paraId="567C469F" w14:textId="77777777" w:rsidR="00E36B98" w:rsidRPr="00790BEE" w:rsidRDefault="00E36B98" w:rsidP="00FE78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4BA1E664" w14:textId="1D106AC3" w:rsidR="00E36B98" w:rsidRPr="00790BEE" w:rsidRDefault="00FE01AD" w:rsidP="00E40AF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790BEE">
        <w:rPr>
          <w:rFonts w:ascii="Times New Roman" w:hAnsi="Times New Roman" w:cs="Times New Roman"/>
          <w:bCs/>
          <w:color w:val="000000" w:themeColor="text1"/>
          <w:u w:val="single"/>
        </w:rPr>
        <w:t>Opis i cilj aktivnosti</w:t>
      </w:r>
    </w:p>
    <w:p w14:paraId="45E39EF0" w14:textId="3CBE373C" w:rsidR="00FE7828" w:rsidRPr="00790BEE" w:rsidRDefault="00B75460" w:rsidP="004861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0BEE">
        <w:rPr>
          <w:rFonts w:ascii="Times New Roman" w:hAnsi="Times New Roman" w:cs="Times New Roman"/>
          <w:bCs/>
          <w:color w:val="000000" w:themeColor="text1"/>
        </w:rPr>
        <w:t xml:space="preserve">Cilj ove aktivnosti je osiguravanje financijskih sredstava iznad državnog standarda </w:t>
      </w:r>
      <w:r w:rsidR="00BD1544" w:rsidRPr="00790BEE">
        <w:rPr>
          <w:rFonts w:ascii="Times New Roman" w:hAnsi="Times New Roman" w:cs="Times New Roman"/>
          <w:bCs/>
          <w:color w:val="000000" w:themeColor="text1"/>
        </w:rPr>
        <w:t xml:space="preserve">od strane našeg Osnivača </w:t>
      </w:r>
      <w:r w:rsidRPr="00790BEE">
        <w:rPr>
          <w:rFonts w:ascii="Times New Roman" w:hAnsi="Times New Roman" w:cs="Times New Roman"/>
          <w:bCs/>
          <w:color w:val="000000" w:themeColor="text1"/>
        </w:rPr>
        <w:t xml:space="preserve">za financiranje </w:t>
      </w:r>
      <w:r w:rsidR="005605DA" w:rsidRPr="00790BEE">
        <w:rPr>
          <w:rFonts w:ascii="Times New Roman" w:hAnsi="Times New Roman" w:cs="Times New Roman"/>
          <w:color w:val="000000" w:themeColor="text1"/>
        </w:rPr>
        <w:t>ostalih materijalnih rashoda koja ne uspijemo pokriti preko decentraliziranih sredstava</w:t>
      </w:r>
      <w:r w:rsidR="00BD1544" w:rsidRPr="00790BEE">
        <w:rPr>
          <w:rFonts w:ascii="Times New Roman" w:hAnsi="Times New Roman" w:cs="Times New Roman"/>
          <w:color w:val="000000" w:themeColor="text1"/>
        </w:rPr>
        <w:t>.</w:t>
      </w:r>
    </w:p>
    <w:p w14:paraId="029AF30A" w14:textId="192A3A13" w:rsidR="003B7FB8" w:rsidRPr="00790BEE" w:rsidRDefault="002A2C3B" w:rsidP="006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 ovoj aktivnosti </w:t>
      </w:r>
      <w:r w:rsidR="00496C10">
        <w:rPr>
          <w:rFonts w:ascii="Times New Roman" w:eastAsia="Times New Roman" w:hAnsi="Times New Roman" w:cs="Times New Roman"/>
          <w:color w:val="000000" w:themeColor="text1"/>
          <w:lang w:eastAsia="hr-HR"/>
        </w:rPr>
        <w:t>je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smanjenje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plana u iznosu </w:t>
      </w:r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9.482,00 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EUR</w:t>
      </w:r>
      <w:r w:rsidR="00F40EC9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,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koji iznos smo </w:t>
      </w:r>
      <w:proofErr w:type="spellStart"/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preknjižili</w:t>
      </w:r>
      <w:proofErr w:type="spellEnd"/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na</w:t>
      </w:r>
      <w:r w:rsidR="00172B07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skupin</w:t>
      </w:r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u</w:t>
      </w:r>
      <w:r w:rsidR="00172B07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45 </w:t>
      </w:r>
      <w:r w:rsidR="004861E7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Rashodi za dodatna ulaganja na nefinancijskoj imovini</w:t>
      </w:r>
      <w:r w:rsidR="006F0385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u okviru aktivnosti Decentralizirane funkcije osnovnog školstva</w:t>
      </w:r>
      <w:r w:rsidR="00172B07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72B07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S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redstva </w:t>
      </w:r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na ovoj aktivnosti 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su namijenjena financiranju </w:t>
      </w:r>
      <w:r w:rsidR="00F40EC9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energije, 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uredskog materijala, komunalnih usluga</w:t>
      </w:r>
      <w:r w:rsidR="00F40EC9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prijevoza učenika, </w:t>
      </w:r>
      <w:r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usluga za tekuće i investicijsko održavanje, </w:t>
      </w:r>
      <w:r w:rsidR="00F40EC9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>sistematskih pregleda</w:t>
      </w:r>
      <w:r w:rsidR="00790BEE" w:rsidRPr="00790BE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koja ne uspijemo pokriti iz decentraliziranih sredstava. Preraspodjela unutar pozicija je napravljena sukladno realizaciji i procjeni plana do kraja 2024. godine. </w:t>
      </w:r>
      <w:r w:rsidR="004861E7" w:rsidRPr="00790BEE">
        <w:rPr>
          <w:rFonts w:ascii="Times New Roman" w:hAnsi="Times New Roman" w:cs="Times New Roman"/>
          <w:color w:val="000000" w:themeColor="text1"/>
        </w:rPr>
        <w:t xml:space="preserve">Ukupno novi plan iznosi </w:t>
      </w:r>
      <w:r w:rsidR="00790BEE" w:rsidRPr="00790BEE">
        <w:rPr>
          <w:rFonts w:ascii="Times New Roman" w:hAnsi="Times New Roman" w:cs="Times New Roman"/>
          <w:color w:val="000000" w:themeColor="text1"/>
        </w:rPr>
        <w:t>118.996,00</w:t>
      </w:r>
      <w:r w:rsidR="004861E7" w:rsidRPr="00790BEE">
        <w:rPr>
          <w:rFonts w:ascii="Times New Roman" w:hAnsi="Times New Roman" w:cs="Times New Roman"/>
          <w:color w:val="000000" w:themeColor="text1"/>
        </w:rPr>
        <w:t xml:space="preserve"> EUR.</w:t>
      </w:r>
    </w:p>
    <w:p w14:paraId="727AEF08" w14:textId="5FDFDC60" w:rsidR="00600591" w:rsidRPr="00790BEE" w:rsidRDefault="00600591" w:rsidP="006E263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90BEE">
        <w:rPr>
          <w:rFonts w:ascii="Times New Roman" w:hAnsi="Times New Roman" w:cs="Times New Roman"/>
          <w:color w:val="000000" w:themeColor="text1"/>
        </w:rPr>
        <w:tab/>
        <w:t>U ovu aktivnost je uvršten i manjak za neplaćene račune</w:t>
      </w:r>
      <w:r w:rsidR="006E2630" w:rsidRPr="00790BEE">
        <w:rPr>
          <w:rFonts w:ascii="Times New Roman" w:hAnsi="Times New Roman" w:cs="Times New Roman"/>
          <w:color w:val="000000" w:themeColor="text1"/>
        </w:rPr>
        <w:t xml:space="preserve"> iz 2023. godine</w:t>
      </w:r>
      <w:r w:rsidRPr="00790BEE">
        <w:rPr>
          <w:rFonts w:ascii="Times New Roman" w:hAnsi="Times New Roman" w:cs="Times New Roman"/>
          <w:color w:val="000000" w:themeColor="text1"/>
        </w:rPr>
        <w:t xml:space="preserve"> u iznosu od 1.927,37</w:t>
      </w:r>
      <w:r w:rsidR="006E2630" w:rsidRPr="00790BEE">
        <w:rPr>
          <w:rFonts w:ascii="Times New Roman" w:hAnsi="Times New Roman" w:cs="Times New Roman"/>
          <w:color w:val="000000" w:themeColor="text1"/>
        </w:rPr>
        <w:t xml:space="preserve"> EUR.</w:t>
      </w:r>
    </w:p>
    <w:p w14:paraId="766F8B1F" w14:textId="77777777" w:rsidR="006E2630" w:rsidRPr="00985D0A" w:rsidRDefault="006E2630" w:rsidP="006E263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781A2D6" w14:textId="7350ECD7" w:rsidR="003B7FB8" w:rsidRPr="00985D0A" w:rsidRDefault="003B7FB8" w:rsidP="003B7FB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85D0A">
        <w:rPr>
          <w:rFonts w:ascii="Times New Roman" w:hAnsi="Times New Roman" w:cs="Times New Roman"/>
          <w:b/>
          <w:bCs/>
          <w:color w:val="000000" w:themeColor="text1"/>
        </w:rPr>
        <w:t>CILJEVI I POKAZATELJI USPJEŠNOSTI IZ AKATA STRATEŠKOG PLANIRANJA I GODIŠNJEG PLANA RADA</w:t>
      </w:r>
    </w:p>
    <w:p w14:paraId="52F2D0D7" w14:textId="5B7ACD64" w:rsidR="003B7FB8" w:rsidRPr="00985D0A" w:rsidRDefault="00CB01EE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985D0A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CILJ: Prevencija bolesti i zaštita zdravlja svih zaposlenika škole</w:t>
      </w:r>
    </w:p>
    <w:p w14:paraId="11266C18" w14:textId="12A21554" w:rsidR="00CB01EE" w:rsidRPr="00985D0A" w:rsidRDefault="00CB01EE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985D0A">
        <w:rPr>
          <w:rFonts w:ascii="Times New Roman" w:eastAsia="Times New Roman" w:hAnsi="Times New Roman" w:cs="Times New Roman"/>
          <w:color w:val="000000" w:themeColor="text1"/>
          <w:lang w:eastAsia="hr-HR"/>
        </w:rPr>
        <w:t>Ovim ciljem se želi pružiti svim zaposlenicima da jednom godišnje obave sistematski pregled u nadležnoj ustanovi radi prevencije razvoja bolesti i zaštite osobnog zdravlja.</w:t>
      </w:r>
    </w:p>
    <w:p w14:paraId="6F1901D8" w14:textId="77777777" w:rsidR="00205206" w:rsidRPr="00985D0A" w:rsidRDefault="00205206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985D0A" w:rsidRPr="00985D0A" w14:paraId="7CE09C01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532A41F2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1730BCA1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3C12C8D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64D702AC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78E7E71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095757E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0C91E58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5E9DD8F4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898F150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4E6E80C0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80C826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3D8B452E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985D0A" w14:paraId="10165DE1" w14:textId="77777777" w:rsidTr="004C1F77">
        <w:tc>
          <w:tcPr>
            <w:tcW w:w="1673" w:type="dxa"/>
            <w:shd w:val="clear" w:color="auto" w:fill="auto"/>
          </w:tcPr>
          <w:p w14:paraId="4FCDE047" w14:textId="078ED53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Povećanje broja zaposlenih koji obavljaju sistematske preglede</w:t>
            </w:r>
          </w:p>
        </w:tc>
        <w:tc>
          <w:tcPr>
            <w:tcW w:w="2580" w:type="dxa"/>
            <w:shd w:val="clear" w:color="auto" w:fill="auto"/>
          </w:tcPr>
          <w:p w14:paraId="2821DED5" w14:textId="6D0AF5A4" w:rsidR="004C1F77" w:rsidRPr="00985D0A" w:rsidRDefault="004C1F7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Sve zaposlene se potiče na obavljanje godišnjeg sistematskog pregleda u svrhu prevencije razvoja bolesti i zaštite zdravlja</w:t>
            </w:r>
          </w:p>
        </w:tc>
        <w:tc>
          <w:tcPr>
            <w:tcW w:w="1134" w:type="dxa"/>
            <w:shd w:val="clear" w:color="auto" w:fill="auto"/>
          </w:tcPr>
          <w:p w14:paraId="4E5E039B" w14:textId="77777777" w:rsidR="004C1F77" w:rsidRPr="00985D0A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E610BA8" w14:textId="77777777" w:rsidR="004C1F77" w:rsidRPr="00985D0A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366E5F75" w14:textId="07BD25D5" w:rsidR="004C1F77" w:rsidRPr="00985D0A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350C952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373E3DD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FF94A7C" w14:textId="54FF2E62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09AB4F8A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6F783412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1728462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04F901D8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8B3BBCF" w14:textId="77777777" w:rsidR="004C1F77" w:rsidRPr="00985D0A" w:rsidRDefault="004C1F7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238C98C" w14:textId="7B96F98F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95</w:t>
            </w:r>
          </w:p>
        </w:tc>
      </w:tr>
    </w:tbl>
    <w:p w14:paraId="3FB30DEE" w14:textId="77777777" w:rsidR="003B7FB8" w:rsidRPr="00985D0A" w:rsidRDefault="003B7FB8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497F7D74" w14:textId="77777777" w:rsidR="004305C0" w:rsidRPr="00790BEE" w:rsidRDefault="004305C0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166AFBB8" w14:textId="19DC8BEA" w:rsidR="00FE7828" w:rsidRPr="00790BEE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790BEE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Aktivnost: A300306 Slobodne aktivnosti i školska natjecanja</w:t>
      </w:r>
    </w:p>
    <w:p w14:paraId="3CF05804" w14:textId="77777777" w:rsidR="00E36B98" w:rsidRPr="00790BEE" w:rsidRDefault="00E36B9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4A326E30" w14:textId="2AB319F5" w:rsidR="00FE01AD" w:rsidRPr="00790BEE" w:rsidRDefault="00FE01AD" w:rsidP="00044E5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790BEE">
        <w:rPr>
          <w:rFonts w:ascii="Times New Roman" w:hAnsi="Times New Roman" w:cs="Times New Roman"/>
          <w:bCs/>
          <w:color w:val="000000" w:themeColor="text1"/>
          <w:u w:val="single"/>
        </w:rPr>
        <w:t>Opis i cilj aktivnosti</w:t>
      </w:r>
    </w:p>
    <w:p w14:paraId="2147820F" w14:textId="33F79ECD" w:rsidR="00FE7828" w:rsidRPr="00790BEE" w:rsidRDefault="00B75460" w:rsidP="00044E5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0BEE">
        <w:rPr>
          <w:rFonts w:ascii="Times New Roman" w:hAnsi="Times New Roman" w:cs="Times New Roman"/>
          <w:bCs/>
          <w:color w:val="000000" w:themeColor="text1"/>
        </w:rPr>
        <w:t xml:space="preserve">Cilj ove aktivnosti je osiguravanje kvalitetnijeg sustava obrazovanja preko financiranja izvannastavnih aktivnosti i školskih natjecanja. To su oblici aktivnosti koje se provode radi zadovoljavanja različitih potreba i interesa učenika,  koje Škola planira, organizira i realizira, a u koju se učenik samostalno, neobvezno i dobrovoljno uključuje. </w:t>
      </w:r>
    </w:p>
    <w:p w14:paraId="5DE17C0F" w14:textId="76572051" w:rsidR="008A25E8" w:rsidRPr="00790BEE" w:rsidRDefault="002A2C3B" w:rsidP="004861E7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0BEE">
        <w:rPr>
          <w:rFonts w:ascii="Times New Roman" w:hAnsi="Times New Roman" w:cs="Times New Roman"/>
          <w:bCs/>
          <w:color w:val="000000" w:themeColor="text1"/>
        </w:rPr>
        <w:t xml:space="preserve">Ova aktivnost bilježi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>smanjenje</w:t>
      </w:r>
      <w:r w:rsidRPr="00790BEE">
        <w:rPr>
          <w:rFonts w:ascii="Times New Roman" w:hAnsi="Times New Roman" w:cs="Times New Roman"/>
          <w:bCs/>
          <w:color w:val="000000" w:themeColor="text1"/>
        </w:rPr>
        <w:t xml:space="preserve"> od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>153,00 EUR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>.</w:t>
      </w:r>
      <w:r w:rsidRPr="00790B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>N</w:t>
      </w:r>
      <w:r w:rsidRPr="00790BEE">
        <w:rPr>
          <w:rFonts w:ascii="Times New Roman" w:hAnsi="Times New Roman" w:cs="Times New Roman"/>
          <w:bCs/>
          <w:color w:val="000000" w:themeColor="text1"/>
        </w:rPr>
        <w:t xml:space="preserve">a skupini 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31 Rashodi za zaposlene se plan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>smanjuje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 za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>189,00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 EUR (izvor 1 </w:t>
      </w:r>
      <w:r w:rsidR="00DC16A7">
        <w:rPr>
          <w:rFonts w:ascii="Times New Roman" w:hAnsi="Times New Roman" w:cs="Times New Roman"/>
          <w:bCs/>
          <w:color w:val="000000" w:themeColor="text1"/>
        </w:rPr>
        <w:t>Opći prihodi i primici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 xml:space="preserve">, a sve sukladno realizaciji isplate sredstava za izvannastavne aktivnosti. 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Na skupini </w:t>
      </w:r>
      <w:r w:rsidRPr="00790BEE">
        <w:rPr>
          <w:rFonts w:ascii="Times New Roman" w:hAnsi="Times New Roman" w:cs="Times New Roman"/>
          <w:bCs/>
          <w:color w:val="000000" w:themeColor="text1"/>
        </w:rPr>
        <w:t>32 Materijalnih rashoda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 je povećanje</w:t>
      </w:r>
      <w:r w:rsidR="00DC16A7">
        <w:rPr>
          <w:rFonts w:ascii="Times New Roman" w:hAnsi="Times New Roman" w:cs="Times New Roman"/>
          <w:bCs/>
          <w:color w:val="000000" w:themeColor="text1"/>
        </w:rPr>
        <w:t xml:space="preserve"> od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>189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,00 EUR (izvor 1 </w:t>
      </w:r>
      <w:r w:rsidR="00DC16A7">
        <w:rPr>
          <w:rFonts w:ascii="Times New Roman" w:hAnsi="Times New Roman" w:cs="Times New Roman"/>
          <w:bCs/>
          <w:color w:val="000000" w:themeColor="text1"/>
        </w:rPr>
        <w:t>Opći prihodi i primici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>) za međuopćinska natjecanja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 i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>smanjenje od 153,00 EUR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 (izvor </w:t>
      </w:r>
      <w:r w:rsidR="00DC16A7">
        <w:rPr>
          <w:rFonts w:ascii="Times New Roman" w:hAnsi="Times New Roman" w:cs="Times New Roman"/>
          <w:bCs/>
          <w:color w:val="000000" w:themeColor="text1"/>
        </w:rPr>
        <w:t>pomoći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>prema realizaciji županijskih natjecanja.</w:t>
      </w:r>
      <w:r w:rsidR="00B33CB6" w:rsidRPr="00790B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90BEE">
        <w:rPr>
          <w:rFonts w:ascii="Times New Roman" w:hAnsi="Times New Roman" w:cs="Times New Roman"/>
          <w:bCs/>
          <w:color w:val="000000" w:themeColor="text1"/>
        </w:rPr>
        <w:t xml:space="preserve">Ukupno je plan u iznosu od </w:t>
      </w:r>
      <w:r w:rsidR="00790BEE" w:rsidRPr="00790BEE">
        <w:rPr>
          <w:rFonts w:ascii="Times New Roman" w:hAnsi="Times New Roman" w:cs="Times New Roman"/>
          <w:bCs/>
          <w:color w:val="000000" w:themeColor="text1"/>
        </w:rPr>
        <w:t>15.397,00</w:t>
      </w:r>
      <w:r w:rsidRPr="00790BEE">
        <w:rPr>
          <w:rFonts w:ascii="Times New Roman" w:hAnsi="Times New Roman" w:cs="Times New Roman"/>
          <w:bCs/>
          <w:color w:val="000000" w:themeColor="text1"/>
        </w:rPr>
        <w:t>EUR.</w:t>
      </w:r>
    </w:p>
    <w:p w14:paraId="25A677A8" w14:textId="77777777" w:rsidR="00D215A4" w:rsidRPr="00985D0A" w:rsidRDefault="00D215A4" w:rsidP="004861E7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</w:rPr>
      </w:pPr>
    </w:p>
    <w:p w14:paraId="11C994D3" w14:textId="23E8107B" w:rsidR="00205206" w:rsidRPr="00985D0A" w:rsidRDefault="00205206" w:rsidP="0020520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85D0A">
        <w:rPr>
          <w:rFonts w:ascii="Times New Roman" w:hAnsi="Times New Roman" w:cs="Times New Roman"/>
          <w:b/>
          <w:bCs/>
          <w:color w:val="000000" w:themeColor="text1"/>
        </w:rPr>
        <w:t>CILJEVI I POKAZATELJI USPJEŠNOSTI IZ AKATA STRATEŠKOG PLANIRANJA I GODIŠNJEG PLANA RADA</w:t>
      </w:r>
    </w:p>
    <w:p w14:paraId="3A25CB0E" w14:textId="4B3AE40B" w:rsidR="00205206" w:rsidRPr="00985D0A" w:rsidRDefault="00205206" w:rsidP="0020520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985D0A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CILJ: </w:t>
      </w:r>
      <w:r w:rsidR="002049FB" w:rsidRPr="00985D0A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Promicanje škole </w:t>
      </w:r>
    </w:p>
    <w:p w14:paraId="56EB9DFE" w14:textId="22274B79" w:rsidR="00205206" w:rsidRPr="00985D0A" w:rsidRDefault="00205206" w:rsidP="00E36B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985D0A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Ovaj cilj ima za svrhu uključivanje djece u različite programske sadržaje kako </w:t>
      </w:r>
      <w:r w:rsidR="002049FB" w:rsidRPr="00985D0A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bi </w:t>
      </w:r>
      <w:r w:rsidRPr="00985D0A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kroz priredbe i manifestacije </w:t>
      </w:r>
      <w:r w:rsidR="002049FB" w:rsidRPr="00985D0A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promovirali školu i </w:t>
      </w:r>
      <w:r w:rsidRPr="00985D0A">
        <w:rPr>
          <w:rFonts w:ascii="Times New Roman" w:eastAsia="Times New Roman" w:hAnsi="Times New Roman" w:cs="Times New Roman"/>
          <w:color w:val="000000" w:themeColor="text1"/>
          <w:lang w:eastAsia="hr-HR"/>
        </w:rPr>
        <w:t>stekli dodatno samopouzdanje, smisao i zadovoljstvo</w:t>
      </w:r>
      <w:r w:rsidR="002049FB" w:rsidRPr="00985D0A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u radu.</w:t>
      </w:r>
    </w:p>
    <w:p w14:paraId="2819052C" w14:textId="77777777" w:rsidR="00205206" w:rsidRPr="00985D0A" w:rsidRDefault="00205206" w:rsidP="002052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560"/>
        <w:gridCol w:w="1134"/>
        <w:gridCol w:w="1134"/>
        <w:gridCol w:w="1275"/>
      </w:tblGrid>
      <w:tr w:rsidR="00985D0A" w:rsidRPr="00985D0A" w14:paraId="13815E95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62E8320A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00D4874C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74572408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4E0E344D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1F95AD9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61EE763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A9F8F6B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64DB62B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E524F3D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06B692CF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19D3EF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63E46EE2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985D0A" w14:paraId="55AD51A3" w14:textId="77777777" w:rsidTr="004C1F77">
        <w:tc>
          <w:tcPr>
            <w:tcW w:w="1673" w:type="dxa"/>
            <w:shd w:val="clear" w:color="auto" w:fill="auto"/>
          </w:tcPr>
          <w:p w14:paraId="65163CE3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Povećanje broja školskih projekata/priredbi/manifestacija</w:t>
            </w:r>
          </w:p>
        </w:tc>
        <w:tc>
          <w:tcPr>
            <w:tcW w:w="2296" w:type="dxa"/>
            <w:shd w:val="clear" w:color="auto" w:fill="auto"/>
          </w:tcPr>
          <w:p w14:paraId="212ACA9A" w14:textId="77777777" w:rsidR="004C1F77" w:rsidRPr="00985D0A" w:rsidRDefault="004C1F77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560" w:type="dxa"/>
            <w:shd w:val="clear" w:color="auto" w:fill="auto"/>
          </w:tcPr>
          <w:p w14:paraId="01AB2C46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broj projekata/priredbi/manifestacija </w:t>
            </w:r>
          </w:p>
        </w:tc>
        <w:tc>
          <w:tcPr>
            <w:tcW w:w="1134" w:type="dxa"/>
            <w:shd w:val="clear" w:color="auto" w:fill="auto"/>
          </w:tcPr>
          <w:p w14:paraId="64D48684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4839696B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D8E0430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2C4388DE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67F8D89F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09B49F1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1B9071FC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039137C" w14:textId="77777777" w:rsidR="004C1F77" w:rsidRPr="00985D0A" w:rsidRDefault="004C1F77" w:rsidP="004C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8AD3C08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50</w:t>
            </w:r>
          </w:p>
        </w:tc>
      </w:tr>
    </w:tbl>
    <w:p w14:paraId="7521BD7E" w14:textId="77777777" w:rsidR="00205206" w:rsidRPr="00985D0A" w:rsidRDefault="00205206" w:rsidP="002052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560"/>
        <w:gridCol w:w="1134"/>
        <w:gridCol w:w="1134"/>
        <w:gridCol w:w="1275"/>
      </w:tblGrid>
      <w:tr w:rsidR="00985D0A" w:rsidRPr="00985D0A" w14:paraId="360A9941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2A6F7E77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12536018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239A296D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6C33F09E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FA2DC2E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45E59113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2FB60DE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50BFEBC1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DC43369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1AF53D5B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87EB5F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0E5D6E03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985D0A" w14:paraId="015CF447" w14:textId="77777777" w:rsidTr="004C1F77">
        <w:tc>
          <w:tcPr>
            <w:tcW w:w="1673" w:type="dxa"/>
            <w:shd w:val="clear" w:color="auto" w:fill="auto"/>
          </w:tcPr>
          <w:p w14:paraId="4FA6227C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Povećanje broja učenika koji su uključeni u različite školske projekte/</w:t>
            </w:r>
          </w:p>
          <w:p w14:paraId="3385E104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priredbe/manifestacije</w:t>
            </w:r>
          </w:p>
        </w:tc>
        <w:tc>
          <w:tcPr>
            <w:tcW w:w="2296" w:type="dxa"/>
            <w:shd w:val="clear" w:color="auto" w:fill="auto"/>
          </w:tcPr>
          <w:p w14:paraId="3216147F" w14:textId="77777777" w:rsidR="004C1F77" w:rsidRPr="00985D0A" w:rsidRDefault="004C1F77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560" w:type="dxa"/>
            <w:shd w:val="clear" w:color="auto" w:fill="auto"/>
          </w:tcPr>
          <w:p w14:paraId="141D0EE7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Broj učenika koji su uključeni u projekte/priredbe/manifestacije</w:t>
            </w:r>
          </w:p>
        </w:tc>
        <w:tc>
          <w:tcPr>
            <w:tcW w:w="1134" w:type="dxa"/>
            <w:shd w:val="clear" w:color="auto" w:fill="auto"/>
          </w:tcPr>
          <w:p w14:paraId="39D16153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308F89D7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DA7CB09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924C825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881</w:t>
            </w:r>
          </w:p>
        </w:tc>
        <w:tc>
          <w:tcPr>
            <w:tcW w:w="1134" w:type="dxa"/>
            <w:shd w:val="clear" w:color="auto" w:fill="auto"/>
          </w:tcPr>
          <w:p w14:paraId="131F3645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F71AE3D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37362457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331CF0B4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4534FE92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D170441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70AE398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7C9F79E" w14:textId="77777777" w:rsidR="004C1F77" w:rsidRPr="00985D0A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883</w:t>
            </w:r>
          </w:p>
        </w:tc>
      </w:tr>
    </w:tbl>
    <w:p w14:paraId="6613F8B8" w14:textId="77777777" w:rsidR="00205206" w:rsidRPr="00985D0A" w:rsidRDefault="00205206" w:rsidP="002052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473E236" w14:textId="0CB9E65F" w:rsidR="00F304B1" w:rsidRPr="00985D0A" w:rsidRDefault="00F304B1" w:rsidP="0020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49812CDC" w14:textId="77777777" w:rsidR="00F304B1" w:rsidRPr="00985D0A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985D0A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CILJ: Poboljšavanje kvalitete i učinkovitosti obrazovanja</w:t>
      </w:r>
    </w:p>
    <w:p w14:paraId="7BA2C883" w14:textId="0C8C3CE0" w:rsidR="00F304B1" w:rsidRPr="00985D0A" w:rsidRDefault="00F304B1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985D0A">
        <w:rPr>
          <w:rFonts w:ascii="Times New Roman" w:eastAsia="Times New Roman" w:hAnsi="Times New Roman" w:cs="Times New Roman"/>
          <w:color w:val="000000" w:themeColor="text1"/>
          <w:lang w:eastAsia="hr-HR"/>
        </w:rPr>
        <w:t>Ovaj cilj ima za svrhu poticanje djece na dodatno obrazovanje i stjecanje novih znanja koja im mogu poslužiti prilikom odlazaka na razna natjecanja ili u daljnjem školovanju.</w:t>
      </w:r>
    </w:p>
    <w:p w14:paraId="7B081DE3" w14:textId="77777777" w:rsidR="00F304B1" w:rsidRPr="00985D0A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292"/>
        <w:gridCol w:w="1560"/>
        <w:gridCol w:w="1134"/>
        <w:gridCol w:w="1134"/>
        <w:gridCol w:w="1275"/>
      </w:tblGrid>
      <w:tr w:rsidR="00985D0A" w:rsidRPr="00985D0A" w14:paraId="6FE80238" w14:textId="77777777" w:rsidTr="004C1F77">
        <w:trPr>
          <w:trHeight w:val="81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F34C91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46CD1DA2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F6AA37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2ECDC12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C35B14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88A057A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00F2DC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0971BE16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961580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77C3C296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14226A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0778F682" w14:textId="77777777" w:rsidR="004C1F77" w:rsidRPr="00985D0A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85D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AB59B4" w14:paraId="161391BA" w14:textId="77777777" w:rsidTr="004C1F77">
        <w:trPr>
          <w:trHeight w:val="199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D2A" w14:textId="77777777" w:rsidR="004C1F77" w:rsidRPr="00AB59B4" w:rsidRDefault="004C1F77" w:rsidP="00741EB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9ACE08" w14:textId="496FB7FD" w:rsidR="004C1F77" w:rsidRPr="00AB59B4" w:rsidRDefault="004C1F77" w:rsidP="004C1F77">
            <w:pPr>
              <w:spacing w:line="240" w:lineRule="auto"/>
              <w:ind w:left="-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Povećanje broja učenika koji pohađaju dodatnu nastavu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F2E" w14:textId="77777777" w:rsidR="004C1F77" w:rsidRPr="00AB59B4" w:rsidRDefault="004C1F77" w:rsidP="00741E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Učenike koji u nastavnom predmetu ostvaruju natprosječne rezultate potiče ih se na dodatnu nastavu radi usvajanja dodatnog znanja i pripreme za natjecanja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304" w14:textId="77777777" w:rsidR="004C1F77" w:rsidRPr="00AB59B4" w:rsidRDefault="004C1F77" w:rsidP="00741EBC">
            <w:pPr>
              <w:spacing w:line="240" w:lineRule="auto"/>
              <w:ind w:left="-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6571C6" w14:textId="77777777" w:rsidR="004C1F77" w:rsidRPr="00AB59B4" w:rsidRDefault="004C1F77" w:rsidP="00741E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B598" w14:textId="563ED61B" w:rsidR="004C1F77" w:rsidRPr="00AB59B4" w:rsidRDefault="004C1F77" w:rsidP="00741EB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Broj učenika koji polaze dodatnu nastavu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41F" w14:textId="31AE9C5B" w:rsidR="004C1F77" w:rsidRPr="00AB59B4" w:rsidRDefault="004C1F77" w:rsidP="004C1F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B12587" w14:textId="77777777" w:rsidR="004C1F77" w:rsidRPr="00AB59B4" w:rsidRDefault="004C1F77" w:rsidP="004C1F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31ED09" w14:textId="386F9F68" w:rsidR="004C1F77" w:rsidRPr="00AB59B4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60B" w14:textId="77777777" w:rsidR="004C1F77" w:rsidRPr="00AB59B4" w:rsidRDefault="004C1F77" w:rsidP="006819C5">
            <w:pPr>
              <w:ind w:left="-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17F486" w14:textId="77777777" w:rsidR="004C1F77" w:rsidRPr="00AB59B4" w:rsidRDefault="004C1F77" w:rsidP="004C1F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7479B6" w14:textId="06334CDA" w:rsidR="004C1F77" w:rsidRPr="00AB59B4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45C" w14:textId="77777777" w:rsidR="004C1F77" w:rsidRPr="00AB59B4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C4DB1B" w14:textId="77777777" w:rsidR="004C1F77" w:rsidRPr="00AB59B4" w:rsidRDefault="004C1F77" w:rsidP="004C1F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2963C8" w14:textId="2EA50BDD" w:rsidR="004C1F77" w:rsidRPr="00AB59B4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</w:t>
            </w:r>
          </w:p>
        </w:tc>
      </w:tr>
    </w:tbl>
    <w:p w14:paraId="52C77931" w14:textId="6B6D5A48" w:rsidR="00F304B1" w:rsidRPr="00AB59B4" w:rsidRDefault="00F304B1" w:rsidP="00044E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7004213" w14:textId="77777777" w:rsidR="002D0031" w:rsidRPr="00AB59B4" w:rsidRDefault="002D0031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C2B56A2" w14:textId="0C606039" w:rsidR="00FE7828" w:rsidRPr="00AB59B4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AB59B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Aktivnost: A300323 Unapređenje standarda u školama – izvor VLASTITI PRIHODI</w:t>
      </w:r>
    </w:p>
    <w:p w14:paraId="68582BE4" w14:textId="420068DA" w:rsidR="00FE01AD" w:rsidRPr="00AB59B4" w:rsidRDefault="00FE01AD" w:rsidP="00741E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AB59B4">
        <w:rPr>
          <w:rFonts w:ascii="Times New Roman" w:hAnsi="Times New Roman" w:cs="Times New Roman"/>
          <w:bCs/>
          <w:color w:val="000000" w:themeColor="text1"/>
          <w:u w:val="single"/>
        </w:rPr>
        <w:t>Opis i cilj aktivnosti</w:t>
      </w:r>
    </w:p>
    <w:p w14:paraId="28C3800B" w14:textId="77777777" w:rsidR="002049FB" w:rsidRPr="00AB59B4" w:rsidRDefault="00EE21A0" w:rsidP="00AF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B59B4">
        <w:rPr>
          <w:rFonts w:ascii="Times New Roman" w:hAnsi="Times New Roman" w:cs="Times New Roman"/>
          <w:bCs/>
          <w:color w:val="000000" w:themeColor="text1"/>
        </w:rPr>
        <w:t>Cilj ove aktivnosti je poboljšanje kvalitete i učinkovitosti obrazovanja</w:t>
      </w:r>
      <w:r w:rsidR="002049FB" w:rsidRPr="00AB59B4">
        <w:rPr>
          <w:rFonts w:ascii="Times New Roman" w:hAnsi="Times New Roman" w:cs="Times New Roman"/>
          <w:bCs/>
          <w:color w:val="000000" w:themeColor="text1"/>
        </w:rPr>
        <w:t>, a s</w:t>
      </w:r>
      <w:r w:rsidR="002049FB" w:rsidRPr="00AB59B4">
        <w:rPr>
          <w:rFonts w:ascii="Times New Roman" w:eastAsia="Times New Roman" w:hAnsi="Times New Roman" w:cs="Times New Roman"/>
          <w:color w:val="000000" w:themeColor="text1"/>
          <w:lang w:eastAsia="hr-HR"/>
        </w:rPr>
        <w:t>va materijalna sredstva koja se nastoje osigurati i utrošiti kroz ovu aktivnost imaju za zadaću postizanje napretka rada Škole te odgajanje i pripremanje mladih ljudi za odgovoran i uspješan život.</w:t>
      </w:r>
    </w:p>
    <w:p w14:paraId="23ADFE1D" w14:textId="4CD62E06" w:rsidR="00B75460" w:rsidRPr="00972284" w:rsidRDefault="002049FB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AB59B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Ova aktivnost </w:t>
      </w:r>
      <w:r w:rsidR="00EE21A0" w:rsidRPr="00AB59B4">
        <w:rPr>
          <w:rFonts w:ascii="Times New Roman" w:hAnsi="Times New Roman" w:cs="Times New Roman"/>
          <w:bCs/>
          <w:color w:val="000000" w:themeColor="text1"/>
        </w:rPr>
        <w:t>obuhvaća</w:t>
      </w:r>
      <w:r w:rsidR="00B75460" w:rsidRPr="00AB59B4">
        <w:rPr>
          <w:rFonts w:ascii="Times New Roman" w:hAnsi="Times New Roman" w:cs="Times New Roman"/>
          <w:bCs/>
          <w:color w:val="000000" w:themeColor="text1"/>
        </w:rPr>
        <w:t>: nabav</w:t>
      </w:r>
      <w:r w:rsidR="00EE21A0" w:rsidRPr="00AB59B4">
        <w:rPr>
          <w:rFonts w:ascii="Times New Roman" w:hAnsi="Times New Roman" w:cs="Times New Roman"/>
          <w:bCs/>
          <w:color w:val="000000" w:themeColor="text1"/>
        </w:rPr>
        <w:t>u</w:t>
      </w:r>
      <w:r w:rsidR="00B75460" w:rsidRPr="00AB59B4">
        <w:rPr>
          <w:rFonts w:ascii="Times New Roman" w:hAnsi="Times New Roman" w:cs="Times New Roman"/>
          <w:bCs/>
          <w:color w:val="000000" w:themeColor="text1"/>
        </w:rPr>
        <w:t xml:space="preserve"> udžbenika za učenike škole, nabav</w:t>
      </w:r>
      <w:r w:rsidR="00763710" w:rsidRPr="00AB59B4">
        <w:rPr>
          <w:rFonts w:ascii="Times New Roman" w:hAnsi="Times New Roman" w:cs="Times New Roman"/>
          <w:bCs/>
          <w:color w:val="000000" w:themeColor="text1"/>
        </w:rPr>
        <w:t>u</w:t>
      </w:r>
      <w:r w:rsidR="00B75460" w:rsidRPr="00AB59B4">
        <w:rPr>
          <w:rFonts w:ascii="Times New Roman" w:hAnsi="Times New Roman" w:cs="Times New Roman"/>
          <w:bCs/>
          <w:color w:val="000000" w:themeColor="text1"/>
        </w:rPr>
        <w:t xml:space="preserve"> knjiga za školsku knjižnicu, nabav</w:t>
      </w:r>
      <w:r w:rsidR="00763710" w:rsidRPr="00AB59B4">
        <w:rPr>
          <w:rFonts w:ascii="Times New Roman" w:hAnsi="Times New Roman" w:cs="Times New Roman"/>
          <w:bCs/>
          <w:color w:val="000000" w:themeColor="text1"/>
        </w:rPr>
        <w:t>u</w:t>
      </w:r>
      <w:r w:rsidR="00B75460" w:rsidRPr="00AB59B4">
        <w:rPr>
          <w:rFonts w:ascii="Times New Roman" w:hAnsi="Times New Roman" w:cs="Times New Roman"/>
          <w:bCs/>
          <w:color w:val="000000" w:themeColor="text1"/>
        </w:rPr>
        <w:t xml:space="preserve"> osiguranja i školskih majica za učenike škole, odlas</w:t>
      </w:r>
      <w:r w:rsidR="00763710" w:rsidRPr="00AB59B4">
        <w:rPr>
          <w:rFonts w:ascii="Times New Roman" w:hAnsi="Times New Roman" w:cs="Times New Roman"/>
          <w:bCs/>
          <w:color w:val="000000" w:themeColor="text1"/>
        </w:rPr>
        <w:t>ke</w:t>
      </w:r>
      <w:r w:rsidR="00B75460" w:rsidRPr="00AB59B4">
        <w:rPr>
          <w:rFonts w:ascii="Times New Roman" w:hAnsi="Times New Roman" w:cs="Times New Roman"/>
          <w:bCs/>
          <w:color w:val="000000" w:themeColor="text1"/>
        </w:rPr>
        <w:t xml:space="preserve"> na državna natjecanja, troškov</w:t>
      </w:r>
      <w:r w:rsidR="00763710" w:rsidRPr="00AB59B4">
        <w:rPr>
          <w:rFonts w:ascii="Times New Roman" w:hAnsi="Times New Roman" w:cs="Times New Roman"/>
          <w:bCs/>
          <w:color w:val="000000" w:themeColor="text1"/>
        </w:rPr>
        <w:t>e</w:t>
      </w:r>
      <w:r w:rsidR="00B75460" w:rsidRPr="00AB59B4">
        <w:rPr>
          <w:rFonts w:ascii="Times New Roman" w:hAnsi="Times New Roman" w:cs="Times New Roman"/>
          <w:bCs/>
          <w:color w:val="000000" w:themeColor="text1"/>
        </w:rPr>
        <w:t xml:space="preserve"> županijskih stručnih vijeća, poprav</w:t>
      </w:r>
      <w:r w:rsidR="00763710" w:rsidRPr="00AB59B4">
        <w:rPr>
          <w:rFonts w:ascii="Times New Roman" w:hAnsi="Times New Roman" w:cs="Times New Roman"/>
          <w:bCs/>
          <w:color w:val="000000" w:themeColor="text1"/>
        </w:rPr>
        <w:t>ke</w:t>
      </w:r>
      <w:r w:rsidR="00B75460" w:rsidRPr="00AB59B4">
        <w:rPr>
          <w:rFonts w:ascii="Times New Roman" w:hAnsi="Times New Roman" w:cs="Times New Roman"/>
          <w:bCs/>
          <w:color w:val="000000" w:themeColor="text1"/>
        </w:rPr>
        <w:t xml:space="preserve"> tableta i nabav</w:t>
      </w:r>
      <w:r w:rsidR="00763710" w:rsidRPr="00AB59B4">
        <w:rPr>
          <w:rFonts w:ascii="Times New Roman" w:hAnsi="Times New Roman" w:cs="Times New Roman"/>
          <w:bCs/>
          <w:color w:val="000000" w:themeColor="text1"/>
        </w:rPr>
        <w:t>u</w:t>
      </w:r>
      <w:r w:rsidR="00B75460" w:rsidRPr="00AB59B4">
        <w:rPr>
          <w:rFonts w:ascii="Times New Roman" w:hAnsi="Times New Roman" w:cs="Times New Roman"/>
          <w:bCs/>
          <w:color w:val="000000" w:themeColor="text1"/>
        </w:rPr>
        <w:t xml:space="preserve"> nefinancijske  imovine. Financiranje se provodi vlastitim prihodima, prihodima za posebne namjene, prihodima od donacija, pomoćima od nenadležnog proračuna  i kapitalnim prihodima</w:t>
      </w:r>
      <w:r w:rsidR="00DA611C" w:rsidRPr="00AB59B4">
        <w:rPr>
          <w:rFonts w:ascii="Times New Roman" w:hAnsi="Times New Roman" w:cs="Times New Roman"/>
          <w:bCs/>
          <w:color w:val="000000" w:themeColor="text1"/>
        </w:rPr>
        <w:t xml:space="preserve"> te eventualnim prenesenim viškovima od ŽSV-a, najma </w:t>
      </w:r>
      <w:r w:rsidR="008652D8" w:rsidRPr="00AB59B4">
        <w:rPr>
          <w:rFonts w:ascii="Times New Roman" w:hAnsi="Times New Roman" w:cs="Times New Roman"/>
          <w:bCs/>
          <w:color w:val="000000" w:themeColor="text1"/>
        </w:rPr>
        <w:t xml:space="preserve">i prodaje </w:t>
      </w:r>
      <w:r w:rsidR="008652D8" w:rsidRPr="00972284">
        <w:rPr>
          <w:rFonts w:ascii="Times New Roman" w:hAnsi="Times New Roman" w:cs="Times New Roman"/>
          <w:bCs/>
          <w:color w:val="000000" w:themeColor="text1"/>
        </w:rPr>
        <w:t>starog papira, željeza, baterija</w:t>
      </w:r>
      <w:r w:rsidR="00ED1250" w:rsidRPr="00972284">
        <w:rPr>
          <w:rFonts w:ascii="Times New Roman" w:hAnsi="Times New Roman" w:cs="Times New Roman"/>
          <w:bCs/>
          <w:color w:val="000000" w:themeColor="text1"/>
        </w:rPr>
        <w:t xml:space="preserve"> i donacija</w:t>
      </w:r>
      <w:r w:rsidRPr="00972284">
        <w:rPr>
          <w:rFonts w:ascii="Times New Roman" w:hAnsi="Times New Roman" w:cs="Times New Roman"/>
          <w:bCs/>
          <w:color w:val="000000" w:themeColor="text1"/>
        </w:rPr>
        <w:t>.</w:t>
      </w:r>
    </w:p>
    <w:p w14:paraId="5BC333EF" w14:textId="3BE96F34" w:rsidR="00B5142E" w:rsidRPr="00972284" w:rsidRDefault="00B33CB6" w:rsidP="009722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 ovoj aktivnosti  </w:t>
      </w:r>
      <w:r w:rsidR="00496C10">
        <w:rPr>
          <w:rFonts w:ascii="Times New Roman" w:eastAsia="Times New Roman" w:hAnsi="Times New Roman" w:cs="Times New Roman"/>
          <w:color w:val="000000" w:themeColor="text1"/>
          <w:lang w:eastAsia="hr-HR"/>
        </w:rPr>
        <w:t>je</w:t>
      </w:r>
      <w:r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povećanje plana u iznosu </w:t>
      </w:r>
      <w:r w:rsidR="00AB59B4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2.038,00 </w:t>
      </w:r>
      <w:r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EUR te novi plan iznosi </w:t>
      </w:r>
      <w:r w:rsidR="00AB59B4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>85.</w:t>
      </w:r>
      <w:r w:rsidR="0071369B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>858,00</w:t>
      </w:r>
      <w:r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EUR. </w:t>
      </w:r>
      <w:r w:rsidR="00972284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>Iz izvora vlastiti prihod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>i</w:t>
      </w:r>
      <w:r w:rsidR="00972284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je povećanje 369,00 EUR, izvora 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>p</w:t>
      </w:r>
      <w:r w:rsidR="00972284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rihodi za posebne namjene je smanjenje od 1.028,00 EUR, 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>i</w:t>
      </w:r>
      <w:r w:rsidR="00972284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zvora 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>p</w:t>
      </w:r>
      <w:r w:rsidR="00972284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omoći je povećanje za 1.799,00 EUR, izvora 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>d</w:t>
      </w:r>
      <w:r w:rsidR="00972284" w:rsidRP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>onacije je povećanje od 898,00 EUR.</w:t>
      </w:r>
      <w:r w:rsid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Najveće povećanje se odnosi na n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>a</w:t>
      </w:r>
      <w:r w:rsid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bavu udžbenika, s obzirom da su 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se </w:t>
      </w:r>
      <w:r w:rsid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 javnoj nabavi 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udžbenika </w:t>
      </w:r>
      <w:r w:rsidR="009722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cijene </w:t>
      </w:r>
      <w:r w:rsidR="00FF0E5A">
        <w:rPr>
          <w:rFonts w:ascii="Times New Roman" w:eastAsia="Times New Roman" w:hAnsi="Times New Roman" w:cs="Times New Roman"/>
          <w:color w:val="000000" w:themeColor="text1"/>
          <w:lang w:eastAsia="hr-HR"/>
        </w:rPr>
        <w:t>povećale.</w:t>
      </w:r>
    </w:p>
    <w:p w14:paraId="558A368B" w14:textId="1E2062EE" w:rsidR="002A2C3B" w:rsidRPr="00972284" w:rsidRDefault="002A2C3B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72284">
        <w:rPr>
          <w:rFonts w:ascii="Times New Roman" w:hAnsi="Times New Roman" w:cs="Times New Roman"/>
          <w:color w:val="000000" w:themeColor="text1"/>
        </w:rPr>
        <w:t xml:space="preserve"> U ovu aktivnost uvršteni su viškovi i manjkovi po godišnjem obračunu: višak od ŽSV-a </w:t>
      </w:r>
      <w:r w:rsidR="00E07F53" w:rsidRPr="00972284">
        <w:rPr>
          <w:rFonts w:ascii="Times New Roman" w:hAnsi="Times New Roman" w:cs="Times New Roman"/>
          <w:color w:val="000000" w:themeColor="text1"/>
        </w:rPr>
        <w:t>2.480,61 EUR</w:t>
      </w:r>
      <w:r w:rsidRPr="00972284">
        <w:rPr>
          <w:rFonts w:ascii="Times New Roman" w:hAnsi="Times New Roman" w:cs="Times New Roman"/>
          <w:color w:val="000000" w:themeColor="text1"/>
        </w:rPr>
        <w:t xml:space="preserve"> (za dnevnice na ŽSV-u</w:t>
      </w:r>
      <w:r w:rsidR="00E07F53" w:rsidRPr="00972284">
        <w:rPr>
          <w:rFonts w:ascii="Times New Roman" w:hAnsi="Times New Roman" w:cs="Times New Roman"/>
          <w:color w:val="000000" w:themeColor="text1"/>
        </w:rPr>
        <w:t>,</w:t>
      </w:r>
      <w:r w:rsidRPr="00972284">
        <w:rPr>
          <w:rFonts w:ascii="Times New Roman" w:hAnsi="Times New Roman" w:cs="Times New Roman"/>
          <w:color w:val="000000" w:themeColor="text1"/>
        </w:rPr>
        <w:t xml:space="preserve"> predavače</w:t>
      </w:r>
      <w:r w:rsidR="00E07F53" w:rsidRPr="00972284">
        <w:rPr>
          <w:rFonts w:ascii="Times New Roman" w:hAnsi="Times New Roman" w:cs="Times New Roman"/>
          <w:color w:val="000000" w:themeColor="text1"/>
        </w:rPr>
        <w:t>, sitni inventar i reprezentaciju</w:t>
      </w:r>
      <w:r w:rsidRPr="00972284">
        <w:rPr>
          <w:rFonts w:ascii="Times New Roman" w:hAnsi="Times New Roman" w:cs="Times New Roman"/>
          <w:color w:val="000000" w:themeColor="text1"/>
        </w:rPr>
        <w:t xml:space="preserve">), višak od tekućih donacija  </w:t>
      </w:r>
      <w:r w:rsidR="002746A2" w:rsidRPr="00972284">
        <w:rPr>
          <w:rFonts w:ascii="Times New Roman" w:hAnsi="Times New Roman" w:cs="Times New Roman"/>
          <w:color w:val="000000" w:themeColor="text1"/>
        </w:rPr>
        <w:t>24,84</w:t>
      </w:r>
      <w:r w:rsidRPr="00972284">
        <w:rPr>
          <w:rFonts w:ascii="Times New Roman" w:hAnsi="Times New Roman" w:cs="Times New Roman"/>
          <w:color w:val="000000" w:themeColor="text1"/>
        </w:rPr>
        <w:t xml:space="preserve"> EUR (za nabavu potrebne literature u sklopu projekta njemačkog jezika „Moja regija, moj grad“), višak prihoda od naplaćene štete </w:t>
      </w:r>
      <w:r w:rsidR="002746A2" w:rsidRPr="00972284">
        <w:rPr>
          <w:rFonts w:ascii="Times New Roman" w:hAnsi="Times New Roman" w:cs="Times New Roman"/>
          <w:color w:val="000000" w:themeColor="text1"/>
        </w:rPr>
        <w:t xml:space="preserve"> 431,13</w:t>
      </w:r>
      <w:r w:rsidRPr="00972284">
        <w:rPr>
          <w:rFonts w:ascii="Times New Roman" w:hAnsi="Times New Roman" w:cs="Times New Roman"/>
          <w:color w:val="000000" w:themeColor="text1"/>
        </w:rPr>
        <w:t xml:space="preserve"> EUR (za popravke tableta), višak vlastitih prihoda od najma i skupljenog starog papira – </w:t>
      </w:r>
      <w:r w:rsidR="002746A2" w:rsidRPr="00972284">
        <w:rPr>
          <w:rFonts w:ascii="Times New Roman" w:hAnsi="Times New Roman" w:cs="Times New Roman"/>
          <w:color w:val="000000" w:themeColor="text1"/>
        </w:rPr>
        <w:t>396,1</w:t>
      </w:r>
      <w:r w:rsidR="00600591" w:rsidRPr="00972284">
        <w:rPr>
          <w:rFonts w:ascii="Times New Roman" w:hAnsi="Times New Roman" w:cs="Times New Roman"/>
          <w:color w:val="000000" w:themeColor="text1"/>
        </w:rPr>
        <w:t>6</w:t>
      </w:r>
      <w:r w:rsidRPr="00972284">
        <w:rPr>
          <w:rFonts w:ascii="Times New Roman" w:hAnsi="Times New Roman" w:cs="Times New Roman"/>
          <w:color w:val="000000" w:themeColor="text1"/>
        </w:rPr>
        <w:t xml:space="preserve"> EUR za nabavu </w:t>
      </w:r>
      <w:r w:rsidR="002746A2" w:rsidRPr="00972284">
        <w:rPr>
          <w:rFonts w:ascii="Times New Roman" w:hAnsi="Times New Roman" w:cs="Times New Roman"/>
          <w:color w:val="000000" w:themeColor="text1"/>
        </w:rPr>
        <w:t xml:space="preserve">klima uređaja </w:t>
      </w:r>
      <w:r w:rsidRPr="00972284">
        <w:rPr>
          <w:rFonts w:ascii="Times New Roman" w:hAnsi="Times New Roman" w:cs="Times New Roman"/>
          <w:color w:val="000000" w:themeColor="text1"/>
        </w:rPr>
        <w:t xml:space="preserve"> i knjiga za knjižnicu</w:t>
      </w:r>
      <w:r w:rsidR="002746A2" w:rsidRPr="00972284">
        <w:rPr>
          <w:rFonts w:ascii="Times New Roman" w:hAnsi="Times New Roman" w:cs="Times New Roman"/>
          <w:color w:val="000000" w:themeColor="text1"/>
        </w:rPr>
        <w:t>, višak od nenadležnog proračuna za testove psihologa 757,31 EUR</w:t>
      </w:r>
      <w:r w:rsidR="00600591" w:rsidRPr="00972284">
        <w:rPr>
          <w:rFonts w:ascii="Times New Roman" w:hAnsi="Times New Roman" w:cs="Times New Roman"/>
          <w:color w:val="000000" w:themeColor="text1"/>
        </w:rPr>
        <w:t>.</w:t>
      </w:r>
    </w:p>
    <w:p w14:paraId="578FE3C9" w14:textId="77777777" w:rsidR="002A2C3B" w:rsidRPr="00972284" w:rsidRDefault="002A2C3B" w:rsidP="002A2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2A9CE" w14:textId="1E3F218A" w:rsidR="002049FB" w:rsidRPr="00FF2CE2" w:rsidRDefault="002049FB" w:rsidP="002049F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F2CE2">
        <w:rPr>
          <w:rFonts w:ascii="Times New Roman" w:hAnsi="Times New Roman" w:cs="Times New Roman"/>
          <w:b/>
          <w:bCs/>
          <w:color w:val="000000" w:themeColor="text1"/>
        </w:rPr>
        <w:t>CILJEVI I POKAZATELJI USPJEŠNOSTI IZ AKATA STRATEŠKOG PLANIRANJA I GODIŠNJEG PLANA RADA</w:t>
      </w:r>
    </w:p>
    <w:p w14:paraId="013F8B2D" w14:textId="77777777" w:rsidR="002049FB" w:rsidRPr="00FF2CE2" w:rsidRDefault="002049FB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CILJ: Povećanje broja osvojenih prva tri mjesta na natjecanjima.</w:t>
      </w:r>
    </w:p>
    <w:p w14:paraId="7DCAF491" w14:textId="0DAC0A56" w:rsidR="002049FB" w:rsidRPr="00FF2CE2" w:rsidRDefault="002049FB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Ovaj cilj ima zadatak poticanje djece na izražavanje njihove kreativnosti, talenata i sposobnosti kroz različita natjecanja. Ujedno se u njima stvara i natjecateljski duh koji im može </w:t>
      </w:r>
      <w:r w:rsidR="00D618B9"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b</w:t>
      </w: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iti poticaj u daljnjem školovanju i odrastanju.</w:t>
      </w:r>
    </w:p>
    <w:p w14:paraId="6E1559DB" w14:textId="77777777" w:rsidR="002049FB" w:rsidRPr="00FF2CE2" w:rsidRDefault="002049FB" w:rsidP="002049F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985"/>
        <w:gridCol w:w="1275"/>
        <w:gridCol w:w="1418"/>
        <w:gridCol w:w="1417"/>
      </w:tblGrid>
      <w:tr w:rsidR="00985D0A" w:rsidRPr="00FF2CE2" w14:paraId="0FD48492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4425239D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5FD41E04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14:paraId="67907371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BA996C9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40A639B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3D9BE8D5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13FFDB6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EF4E9CA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4B9A67B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613463B8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BD3837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6E2272BD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FF2CE2" w14:paraId="788CA110" w14:textId="77777777" w:rsidTr="004C1F77">
        <w:tc>
          <w:tcPr>
            <w:tcW w:w="1673" w:type="dxa"/>
            <w:shd w:val="clear" w:color="auto" w:fill="auto"/>
          </w:tcPr>
          <w:p w14:paraId="66EE927A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Povećanje broja osvojenih mjesta (prva tri) na županijskim/ državnim natjecanjima</w:t>
            </w:r>
          </w:p>
          <w:p w14:paraId="6976506C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    -županijsko</w:t>
            </w:r>
          </w:p>
          <w:p w14:paraId="7AF833F8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  -poluzavršno</w:t>
            </w:r>
          </w:p>
          <w:p w14:paraId="1EEEB126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         -državno</w:t>
            </w:r>
          </w:p>
          <w:p w14:paraId="460EC29D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-međunarodno</w:t>
            </w:r>
          </w:p>
        </w:tc>
        <w:tc>
          <w:tcPr>
            <w:tcW w:w="1871" w:type="dxa"/>
            <w:shd w:val="clear" w:color="auto" w:fill="auto"/>
          </w:tcPr>
          <w:p w14:paraId="3F4CE9A3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985" w:type="dxa"/>
            <w:shd w:val="clear" w:color="auto" w:fill="auto"/>
          </w:tcPr>
          <w:p w14:paraId="04ABDB93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0134335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E0639EC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FE8DB44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Broj učenika plasiranih na županijska, poluzavršna, državna i međunarodna natjecanja</w:t>
            </w:r>
          </w:p>
        </w:tc>
        <w:tc>
          <w:tcPr>
            <w:tcW w:w="1275" w:type="dxa"/>
            <w:shd w:val="clear" w:color="auto" w:fill="auto"/>
          </w:tcPr>
          <w:p w14:paraId="433092F3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3982468D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5D953A2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D6A417A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405E8DB5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66F2EED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267E93A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144</w:t>
            </w:r>
          </w:p>
          <w:p w14:paraId="176B3994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69</w:t>
            </w:r>
          </w:p>
          <w:p w14:paraId="078C9EA3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20</w:t>
            </w:r>
          </w:p>
          <w:p w14:paraId="38AE8BB6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B329D4F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FC9B184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7AC22A4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1B9DA00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71ED058B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CFA93A4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3FED505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723801F2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69AFA084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1ADCEAF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3DEC42C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418B975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638F7F70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318E5E6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146</w:t>
            </w:r>
          </w:p>
          <w:p w14:paraId="3D3865D9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71</w:t>
            </w:r>
          </w:p>
          <w:p w14:paraId="37A7FFA3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22</w:t>
            </w:r>
          </w:p>
          <w:p w14:paraId="4306E6D5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7</w:t>
            </w:r>
          </w:p>
        </w:tc>
      </w:tr>
    </w:tbl>
    <w:p w14:paraId="535BBBC6" w14:textId="77777777" w:rsidR="002049FB" w:rsidRPr="00580A06" w:rsidRDefault="002049FB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4951B71E" w14:textId="77777777" w:rsidR="00A11DCF" w:rsidRPr="00580A06" w:rsidRDefault="00A11DCF" w:rsidP="00A059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09A3AB10" w14:textId="04C01CAF" w:rsidR="00FA56BA" w:rsidRPr="00580A06" w:rsidRDefault="00FA56BA" w:rsidP="00FA56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580A0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Aktivnosti: A</w:t>
      </w:r>
      <w:r w:rsidR="004B0FB8" w:rsidRPr="00580A0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300356</w:t>
      </w:r>
      <w:r w:rsidRPr="00580A06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ODJEK VI-OŠ „BRAĆA RADIĆ“ 2023./2024. </w:t>
      </w:r>
    </w:p>
    <w:p w14:paraId="59190EA2" w14:textId="77777777" w:rsidR="00E36B98" w:rsidRPr="00580A06" w:rsidRDefault="00E36B98" w:rsidP="00FA56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66E6325E" w14:textId="77777777" w:rsidR="00FA56BA" w:rsidRPr="00580A06" w:rsidRDefault="00FA56BA" w:rsidP="00D215A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580A06">
        <w:rPr>
          <w:rFonts w:ascii="Times New Roman" w:hAnsi="Times New Roman" w:cs="Times New Roman"/>
          <w:bCs/>
          <w:color w:val="000000" w:themeColor="text1"/>
          <w:u w:val="single"/>
        </w:rPr>
        <w:t>Opis i cilj aktivnosti</w:t>
      </w:r>
    </w:p>
    <w:p w14:paraId="115720D9" w14:textId="378070C0" w:rsidR="00AF6DE2" w:rsidRPr="00D54AA1" w:rsidRDefault="00FA56BA" w:rsidP="00D21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80A06">
        <w:rPr>
          <w:rFonts w:ascii="Times New Roman" w:hAnsi="Times New Roman" w:cs="Times New Roman"/>
          <w:bCs/>
          <w:color w:val="000000" w:themeColor="text1"/>
        </w:rPr>
        <w:t>Aktivnost podrazumijeva potporu pomoćnika u nastavi i stručn</w:t>
      </w:r>
      <w:r w:rsidR="00BE3F8F" w:rsidRPr="00580A06">
        <w:rPr>
          <w:rFonts w:ascii="Times New Roman" w:hAnsi="Times New Roman" w:cs="Times New Roman"/>
          <w:bCs/>
          <w:color w:val="000000" w:themeColor="text1"/>
        </w:rPr>
        <w:t>ih</w:t>
      </w:r>
      <w:r w:rsidRPr="00580A06">
        <w:rPr>
          <w:rFonts w:ascii="Times New Roman" w:hAnsi="Times New Roman" w:cs="Times New Roman"/>
          <w:bCs/>
          <w:color w:val="000000" w:themeColor="text1"/>
        </w:rPr>
        <w:t xml:space="preserve"> komunikacijsk</w:t>
      </w:r>
      <w:r w:rsidR="00BE3F8F" w:rsidRPr="00580A06">
        <w:rPr>
          <w:rFonts w:ascii="Times New Roman" w:hAnsi="Times New Roman" w:cs="Times New Roman"/>
          <w:bCs/>
          <w:color w:val="000000" w:themeColor="text1"/>
        </w:rPr>
        <w:t>ih</w:t>
      </w:r>
      <w:r w:rsidRPr="00580A06">
        <w:rPr>
          <w:rFonts w:ascii="Times New Roman" w:hAnsi="Times New Roman" w:cs="Times New Roman"/>
          <w:bCs/>
          <w:color w:val="000000" w:themeColor="text1"/>
        </w:rPr>
        <w:t xml:space="preserve"> posrednika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 </w:t>
      </w:r>
      <w:r w:rsidRPr="00D54AA1">
        <w:rPr>
          <w:rFonts w:ascii="Times New Roman" w:hAnsi="Times New Roman" w:cs="Times New Roman"/>
          <w:bCs/>
          <w:color w:val="000000" w:themeColor="text1"/>
        </w:rPr>
        <w:t>koji su zaposleni u OŠ „Braća Radić“ Koprivnica. Rashodi se odnose na sredstva za plaće, doprinose na plaću, prijevoz na posao i s posla, službena putovanja</w:t>
      </w:r>
      <w:r w:rsidR="00FF0E5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E3F8F" w:rsidRPr="00D54AA1">
        <w:rPr>
          <w:rFonts w:ascii="Times New Roman" w:hAnsi="Times New Roman" w:cs="Times New Roman"/>
          <w:bCs/>
          <w:color w:val="000000" w:themeColor="text1"/>
        </w:rPr>
        <w:t>i ostala materijalna prava (regres</w:t>
      </w:r>
      <w:r w:rsidR="00A94F83" w:rsidRPr="00D54AA1">
        <w:rPr>
          <w:rFonts w:ascii="Times New Roman" w:hAnsi="Times New Roman" w:cs="Times New Roman"/>
          <w:bCs/>
          <w:color w:val="000000" w:themeColor="text1"/>
        </w:rPr>
        <w:t>,</w:t>
      </w:r>
      <w:r w:rsidR="0069263C" w:rsidRPr="00D54AA1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9263C" w:rsidRPr="00D54AA1">
        <w:rPr>
          <w:rFonts w:ascii="Times New Roman" w:hAnsi="Times New Roman" w:cs="Times New Roman"/>
          <w:bCs/>
          <w:color w:val="000000" w:themeColor="text1"/>
        </w:rPr>
        <w:t>uskrsnicu</w:t>
      </w:r>
      <w:proofErr w:type="spellEnd"/>
      <w:r w:rsidR="0069263C" w:rsidRPr="00D54AA1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A94F83" w:rsidRPr="00D54AA1">
        <w:rPr>
          <w:rFonts w:ascii="Times New Roman" w:hAnsi="Times New Roman" w:cs="Times New Roman"/>
          <w:bCs/>
          <w:color w:val="000000" w:themeColor="text1"/>
        </w:rPr>
        <w:t>topli obrok)</w:t>
      </w:r>
      <w:r w:rsidR="00F11D07" w:rsidRPr="00D54AA1">
        <w:rPr>
          <w:rFonts w:ascii="Times New Roman" w:hAnsi="Times New Roman" w:cs="Times New Roman"/>
          <w:bCs/>
          <w:color w:val="000000" w:themeColor="text1"/>
        </w:rPr>
        <w:t>.</w:t>
      </w:r>
      <w:r w:rsidR="00AF6DE2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1EE98F24" w14:textId="0CEADF9A" w:rsidR="002A2C3B" w:rsidRPr="00D54AA1" w:rsidRDefault="00FF0E5A" w:rsidP="004E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Š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kola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je završila ODJEK VI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sa </w:t>
      </w:r>
      <w:r w:rsidR="00D618B9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jedanaest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(</w:t>
      </w:r>
      <w:r w:rsidR="00861FFA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11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) pomoćnika u nastavi i dva (2) stručno komunikacijska posrednika te je </w:t>
      </w:r>
      <w:r w:rsidR="00D445F8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smanjenj</w:t>
      </w:r>
      <w:r w:rsidR="00496C10">
        <w:rPr>
          <w:rFonts w:ascii="Times New Roman" w:eastAsia="Times New Roman" w:hAnsi="Times New Roman" w:cs="Times New Roman"/>
          <w:color w:val="000000" w:themeColor="text1"/>
          <w:lang w:eastAsia="hr-HR"/>
        </w:rPr>
        <w:t>e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plana u iznosu od </w:t>
      </w:r>
      <w:r w:rsidR="00D445F8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6.005,00 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EUR </w:t>
      </w:r>
      <w:r w:rsidR="00D445F8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sukladno realizaciji ODJEKA VI</w:t>
      </w:r>
      <w:r w:rsidR="00861FFA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  <w:r w:rsidR="0069263C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Ukupni plan iznosi </w:t>
      </w:r>
      <w:r w:rsidR="00D445F8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69.626,00</w:t>
      </w:r>
      <w:r w:rsidR="0069263C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Plan za sredstva Osnivača je </w:t>
      </w:r>
      <w:r w:rsidR="00D445F8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32.848,00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(15% troška te razlika od bruto II troška od </w:t>
      </w:r>
      <w:r w:rsidR="00861FFA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508,03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do punog troška plaće), sredstva EU 72% - plan je </w:t>
      </w:r>
      <w:r w:rsidR="00D445F8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31.152,00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i sredstva nacionalnog sufinanciranja 13% - plan je </w:t>
      </w:r>
      <w:r w:rsidR="00D445F8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5.626,00 </w:t>
      </w:r>
      <w:r w:rsidR="002A2C3B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EUR.  </w:t>
      </w:r>
    </w:p>
    <w:p w14:paraId="01251839" w14:textId="3A8CF203" w:rsidR="002A2C3B" w:rsidRPr="00985D0A" w:rsidRDefault="002A2C3B" w:rsidP="004E53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U ovu aktivnost je uvršten i manjak za plaću iz prosinca 202</w:t>
      </w:r>
      <w:r w:rsidR="003E27E7"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3</w:t>
      </w:r>
      <w:r w:rsidRPr="00D54AA1">
        <w:rPr>
          <w:rFonts w:ascii="Times New Roman" w:eastAsia="Times New Roman" w:hAnsi="Times New Roman" w:cs="Times New Roman"/>
          <w:color w:val="000000" w:themeColor="text1"/>
          <w:lang w:eastAsia="hr-HR"/>
        </w:rPr>
        <w:t>. godine u iznosu od</w:t>
      </w:r>
      <w:r w:rsidRPr="00D54AA1">
        <w:rPr>
          <w:rFonts w:ascii="Times New Roman" w:hAnsi="Times New Roman" w:cs="Times New Roman"/>
          <w:color w:val="000000" w:themeColor="text1"/>
        </w:rPr>
        <w:t xml:space="preserve"> </w:t>
      </w:r>
      <w:r w:rsidR="003E27E7" w:rsidRPr="00D54AA1">
        <w:rPr>
          <w:rFonts w:ascii="Times New Roman" w:hAnsi="Times New Roman" w:cs="Times New Roman"/>
          <w:color w:val="000000" w:themeColor="text1"/>
        </w:rPr>
        <w:t>9.</w:t>
      </w:r>
      <w:r w:rsidR="0069263C" w:rsidRPr="00D54AA1">
        <w:rPr>
          <w:rFonts w:ascii="Times New Roman" w:hAnsi="Times New Roman" w:cs="Times New Roman"/>
          <w:color w:val="000000" w:themeColor="text1"/>
        </w:rPr>
        <w:t>295,55</w:t>
      </w:r>
      <w:r w:rsidRPr="00D54AA1">
        <w:rPr>
          <w:rFonts w:ascii="Times New Roman" w:hAnsi="Times New Roman" w:cs="Times New Roman"/>
          <w:color w:val="000000" w:themeColor="text1"/>
        </w:rPr>
        <w:t xml:space="preserve"> EUR </w:t>
      </w:r>
      <w:r w:rsidR="003E27E7" w:rsidRPr="00D54AA1">
        <w:rPr>
          <w:rFonts w:ascii="Times New Roman" w:hAnsi="Times New Roman" w:cs="Times New Roman"/>
          <w:color w:val="000000" w:themeColor="text1"/>
        </w:rPr>
        <w:t>(3.774,66</w:t>
      </w:r>
      <w:r w:rsidRPr="00D54AA1">
        <w:rPr>
          <w:rFonts w:ascii="Times New Roman" w:hAnsi="Times New Roman" w:cs="Times New Roman"/>
          <w:color w:val="000000" w:themeColor="text1"/>
        </w:rPr>
        <w:t xml:space="preserve"> EUR iz izvora Opći prihodi i primici-Grad, </w:t>
      </w:r>
      <w:r w:rsidR="003E27E7" w:rsidRPr="00D54AA1">
        <w:rPr>
          <w:rFonts w:ascii="Times New Roman" w:hAnsi="Times New Roman" w:cs="Times New Roman"/>
          <w:color w:val="000000" w:themeColor="text1"/>
        </w:rPr>
        <w:t xml:space="preserve">4.676,52 </w:t>
      </w:r>
      <w:r w:rsidRPr="00D54AA1">
        <w:rPr>
          <w:rFonts w:ascii="Times New Roman" w:hAnsi="Times New Roman" w:cs="Times New Roman"/>
          <w:color w:val="000000" w:themeColor="text1"/>
        </w:rPr>
        <w:t xml:space="preserve">EUR iz izvora EU i </w:t>
      </w:r>
      <w:r w:rsidR="003E27E7" w:rsidRPr="00D54AA1">
        <w:rPr>
          <w:rFonts w:ascii="Times New Roman" w:hAnsi="Times New Roman" w:cs="Times New Roman"/>
          <w:color w:val="000000" w:themeColor="text1"/>
        </w:rPr>
        <w:t>844,37</w:t>
      </w:r>
      <w:r w:rsidRPr="00D54AA1">
        <w:rPr>
          <w:rFonts w:ascii="Times New Roman" w:hAnsi="Times New Roman" w:cs="Times New Roman"/>
          <w:color w:val="000000" w:themeColor="text1"/>
        </w:rPr>
        <w:t xml:space="preserve"> EUR iz izvora nacionalno sufinanciranje</w:t>
      </w:r>
      <w:r w:rsidRPr="00985D0A">
        <w:rPr>
          <w:rFonts w:ascii="Times New Roman" w:hAnsi="Times New Roman" w:cs="Times New Roman"/>
          <w:color w:val="FF0000"/>
        </w:rPr>
        <w:t>).</w:t>
      </w:r>
    </w:p>
    <w:p w14:paraId="7D76724C" w14:textId="77777777" w:rsidR="002A2C3B" w:rsidRPr="001C7884" w:rsidRDefault="002A2C3B" w:rsidP="002A2C3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00ED22D" w14:textId="5DDAC933" w:rsidR="00BE3F8F" w:rsidRPr="001C7884" w:rsidRDefault="00BE3F8F" w:rsidP="00BE3F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1C788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Aktivnosti: A300359 ODJEK VII-OŠ „BRAĆA RADIĆ“ 2024./2025. </w:t>
      </w:r>
    </w:p>
    <w:p w14:paraId="2D6593A1" w14:textId="77777777" w:rsidR="00E36B98" w:rsidRPr="001C7884" w:rsidRDefault="00E36B98" w:rsidP="00BE3F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43A1C723" w14:textId="77777777" w:rsidR="00BE3F8F" w:rsidRPr="001C7884" w:rsidRDefault="00BE3F8F" w:rsidP="00E36B9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1C7884">
        <w:rPr>
          <w:rFonts w:ascii="Times New Roman" w:hAnsi="Times New Roman" w:cs="Times New Roman"/>
          <w:bCs/>
          <w:color w:val="000000" w:themeColor="text1"/>
          <w:u w:val="single"/>
        </w:rPr>
        <w:t>Opis i cilj aktivnosti</w:t>
      </w:r>
    </w:p>
    <w:p w14:paraId="7D6A33C9" w14:textId="323A627B" w:rsidR="00723FF1" w:rsidRDefault="00BE3F8F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C7884">
        <w:rPr>
          <w:rFonts w:ascii="Times New Roman" w:hAnsi="Times New Roman" w:cs="Times New Roman"/>
          <w:bCs/>
          <w:color w:val="000000" w:themeColor="text1"/>
        </w:rPr>
        <w:t>Aktivnost podrazumijeva potporu pomoćnika u nastavi i stručnog komunikacijskog posrednika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 koji su zaposleni u OŠ „Braća Radić“ Koprivnica</w:t>
      </w:r>
      <w:r w:rsidR="00723FF1" w:rsidRPr="001C7884">
        <w:rPr>
          <w:rFonts w:ascii="Times New Roman" w:hAnsi="Times New Roman" w:cs="Times New Roman"/>
          <w:bCs/>
          <w:color w:val="000000" w:themeColor="text1"/>
        </w:rPr>
        <w:t>.  Rashodi se odnose na sredstva za plaće, doprinose na plaću, prijevoz na posao i s posla, službena putovanja, stručna usavršavanja i ostala materijalna prava (</w:t>
      </w:r>
      <w:r w:rsidR="006E2630" w:rsidRPr="001C7884">
        <w:rPr>
          <w:rFonts w:ascii="Times New Roman" w:hAnsi="Times New Roman" w:cs="Times New Roman"/>
          <w:bCs/>
          <w:color w:val="000000" w:themeColor="text1"/>
        </w:rPr>
        <w:t>božićnica</w:t>
      </w:r>
      <w:r w:rsidR="00723FF1" w:rsidRPr="001C7884">
        <w:rPr>
          <w:rFonts w:ascii="Times New Roman" w:hAnsi="Times New Roman" w:cs="Times New Roman"/>
          <w:bCs/>
          <w:color w:val="000000" w:themeColor="text1"/>
        </w:rPr>
        <w:t>,</w:t>
      </w:r>
      <w:r w:rsidR="006E2630" w:rsidRPr="001C7884">
        <w:rPr>
          <w:rFonts w:ascii="Times New Roman" w:hAnsi="Times New Roman" w:cs="Times New Roman"/>
          <w:bCs/>
          <w:color w:val="000000" w:themeColor="text1"/>
        </w:rPr>
        <w:t xml:space="preserve"> dar za dijete,</w:t>
      </w:r>
      <w:r w:rsidR="00723FF1" w:rsidRPr="001C7884">
        <w:rPr>
          <w:rFonts w:ascii="Times New Roman" w:hAnsi="Times New Roman" w:cs="Times New Roman"/>
          <w:bCs/>
          <w:color w:val="000000" w:themeColor="text1"/>
        </w:rPr>
        <w:t xml:space="preserve"> topli obrok)</w:t>
      </w:r>
      <w:r w:rsidR="00F11D07" w:rsidRPr="001C7884">
        <w:rPr>
          <w:rFonts w:ascii="Times New Roman" w:hAnsi="Times New Roman" w:cs="Times New Roman"/>
          <w:bCs/>
          <w:color w:val="000000" w:themeColor="text1"/>
        </w:rPr>
        <w:t>.</w:t>
      </w:r>
      <w:r w:rsidR="00723FF1" w:rsidRPr="001C788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755F3F04" w14:textId="4CF22268" w:rsidR="001C7884" w:rsidRPr="00C53655" w:rsidRDefault="001C7884" w:rsidP="001C7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53655">
        <w:rPr>
          <w:rFonts w:ascii="Times New Roman" w:eastAsia="Times New Roman" w:hAnsi="Times New Roman" w:cs="Times New Roman"/>
          <w:lang w:eastAsia="hr-HR"/>
        </w:rPr>
        <w:t xml:space="preserve">U sklopu ove aktivnosti škola financira </w:t>
      </w:r>
      <w:r>
        <w:rPr>
          <w:rFonts w:ascii="Times New Roman" w:eastAsia="Times New Roman" w:hAnsi="Times New Roman" w:cs="Times New Roman"/>
          <w:lang w:eastAsia="hr-HR"/>
        </w:rPr>
        <w:t>jedanaest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(11) pomoćnika u nastavi i dva (2) stručno komunikacijska posrednika te je plan </w:t>
      </w:r>
      <w:r w:rsidR="003447E4">
        <w:rPr>
          <w:rFonts w:ascii="Times New Roman" w:eastAsia="Times New Roman" w:hAnsi="Times New Roman" w:cs="Times New Roman"/>
          <w:lang w:eastAsia="hr-HR"/>
        </w:rPr>
        <w:t>do kraja 2024. godine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u iznosu od </w:t>
      </w:r>
      <w:r w:rsidR="003447E4">
        <w:rPr>
          <w:rFonts w:ascii="Times New Roman" w:eastAsia="Times New Roman" w:hAnsi="Times New Roman" w:cs="Times New Roman"/>
          <w:lang w:eastAsia="hr-HR"/>
        </w:rPr>
        <w:t>70.962,00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EUR. Plan za sredstva Osnivača </w:t>
      </w:r>
      <w:r>
        <w:rPr>
          <w:rFonts w:ascii="Times New Roman" w:eastAsia="Times New Roman" w:hAnsi="Times New Roman" w:cs="Times New Roman"/>
          <w:lang w:eastAsia="hr-HR"/>
        </w:rPr>
        <w:t xml:space="preserve"> (izvor 1 Opći prihodi i primici)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je </w:t>
      </w:r>
      <w:r w:rsidR="00FF0E5A">
        <w:rPr>
          <w:rFonts w:ascii="Times New Roman" w:eastAsia="Times New Roman" w:hAnsi="Times New Roman" w:cs="Times New Roman"/>
          <w:lang w:eastAsia="hr-HR"/>
        </w:rPr>
        <w:t>33.100,00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EUR, sredstva EU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3447E4"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plan je </w:t>
      </w:r>
      <w:r w:rsidR="00707DE1">
        <w:rPr>
          <w:rFonts w:ascii="Times New Roman" w:eastAsia="Times New Roman" w:hAnsi="Times New Roman" w:cs="Times New Roman"/>
          <w:lang w:eastAsia="hr-HR"/>
        </w:rPr>
        <w:t>32.167,00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 i sredstva nacionalnog sufinanciranja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- plan je </w:t>
      </w:r>
      <w:r w:rsidR="00846E22">
        <w:rPr>
          <w:rFonts w:ascii="Times New Roman" w:eastAsia="Times New Roman" w:hAnsi="Times New Roman" w:cs="Times New Roman"/>
          <w:lang w:eastAsia="hr-HR"/>
        </w:rPr>
        <w:t>5.695,00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EUR.  Izračun se temelji na bruto iznosu od 7,50 EUR po satu (bruto 2 – 8,74 EUR po satu) </w:t>
      </w:r>
      <w:r>
        <w:rPr>
          <w:rFonts w:ascii="Times New Roman" w:eastAsia="Times New Roman" w:hAnsi="Times New Roman" w:cs="Times New Roman"/>
          <w:lang w:eastAsia="hr-HR"/>
        </w:rPr>
        <w:t xml:space="preserve">prihvatljivog troška u iznosu od 1.013,00 EUR </w:t>
      </w:r>
      <w:r w:rsidRPr="00C53655">
        <w:rPr>
          <w:rFonts w:ascii="Times New Roman" w:eastAsia="Times New Roman" w:hAnsi="Times New Roman" w:cs="Times New Roman"/>
          <w:lang w:eastAsia="hr-HR"/>
        </w:rPr>
        <w:t>i broju tjednog zaduženja za pojedinog pomoćnika (1 od 21 sat, 2 od 23 sata, 2 od 25 sati, 1 od 26 sati,  1 od 28 sati, 1 od 29 sati, 2 od 30 sati, 1 od 32 sata, 2 od 33 sata). Osim za plaće sredstva su planirana za službena putovanja (kao pratnja djeci</w:t>
      </w:r>
      <w:r w:rsidR="00707DE1">
        <w:rPr>
          <w:rFonts w:ascii="Times New Roman" w:eastAsia="Times New Roman" w:hAnsi="Times New Roman" w:cs="Times New Roman"/>
          <w:lang w:eastAsia="hr-HR"/>
        </w:rPr>
        <w:t>),</w:t>
      </w:r>
      <w:r w:rsidR="00846E22">
        <w:rPr>
          <w:rFonts w:ascii="Times New Roman" w:eastAsia="Times New Roman" w:hAnsi="Times New Roman" w:cs="Times New Roman"/>
          <w:lang w:eastAsia="hr-HR"/>
        </w:rPr>
        <w:t xml:space="preserve"> topli obrok, prijevoz na posao i s posla te mat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erijalna prava </w:t>
      </w:r>
      <w:r w:rsidR="00846E22">
        <w:rPr>
          <w:rFonts w:ascii="Times New Roman" w:eastAsia="Times New Roman" w:hAnsi="Times New Roman" w:cs="Times New Roman"/>
          <w:lang w:eastAsia="hr-HR"/>
        </w:rPr>
        <w:t>kao što su božićnica, dar za dijete.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398DCF7" w14:textId="77777777" w:rsidR="00A11DCF" w:rsidRPr="00985D0A" w:rsidRDefault="00A11DCF" w:rsidP="0074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691BD0F" w14:textId="75156477" w:rsidR="00BE3F8F" w:rsidRPr="00FF2CE2" w:rsidRDefault="00A11DCF" w:rsidP="00A11DC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F2CE2">
        <w:rPr>
          <w:rFonts w:ascii="Times New Roman" w:hAnsi="Times New Roman" w:cs="Times New Roman"/>
          <w:b/>
          <w:bCs/>
          <w:color w:val="000000" w:themeColor="text1"/>
        </w:rPr>
        <w:t>CILJEVI I POKAZATELJI USPJEŠNOSTI IZ AKATA STRATEŠKOG PLANIRANJA I GODIŠNJEG PLANA RADA</w:t>
      </w:r>
      <w:r w:rsidR="00BE3F8F"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5A61CBAB" w14:textId="71D15970" w:rsidR="00A11DCF" w:rsidRPr="00FF2CE2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CILJ: </w:t>
      </w:r>
      <w:r w:rsidR="00691E39" w:rsidRPr="00FF2CE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Pomoć djeci s individualnim potrebama</w:t>
      </w:r>
    </w:p>
    <w:p w14:paraId="74CF3416" w14:textId="77777777" w:rsidR="00A11DCF" w:rsidRPr="00FF2CE2" w:rsidRDefault="00A11DCF" w:rsidP="006E26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FF2CE2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Sa ciljem se želi postići zapošljavanje dovoljnog broja pomoćnika u nastavi </w:t>
      </w:r>
      <w:r w:rsidRPr="00FF2CE2">
        <w:rPr>
          <w:rFonts w:ascii="Times New Roman" w:hAnsi="Times New Roman" w:cs="Times New Roman"/>
          <w:bCs/>
          <w:color w:val="000000" w:themeColor="text1"/>
        </w:rPr>
        <w:t>sukladno utvrđenim individualnim potrebama, funkcionalnim sposobnostima i postignutoj razini samostalnosti učenika s tendencijom osamostaljivanja učenika u školskoj sredini.</w:t>
      </w:r>
    </w:p>
    <w:p w14:paraId="4C0E2F72" w14:textId="77777777" w:rsidR="00A11DCF" w:rsidRPr="00FF2CE2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134"/>
        <w:gridCol w:w="1417"/>
      </w:tblGrid>
      <w:tr w:rsidR="00985D0A" w:rsidRPr="00FF2CE2" w14:paraId="0E68E066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573F0134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71E0B19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69C8471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7D91AC07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8818599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7BEF1E90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F746E4E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50B860B4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C62C656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045FAF22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C5B775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5A1BE5F5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FF2CE2" w14:paraId="11742DD7" w14:textId="77777777" w:rsidTr="004C1F77">
        <w:tc>
          <w:tcPr>
            <w:tcW w:w="1673" w:type="dxa"/>
            <w:shd w:val="clear" w:color="auto" w:fill="auto"/>
          </w:tcPr>
          <w:p w14:paraId="687555A3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Zapošljavanje pomoćnika u nastavi kao pomoć učenicima s individualnim potrebama</w:t>
            </w:r>
          </w:p>
        </w:tc>
        <w:tc>
          <w:tcPr>
            <w:tcW w:w="2580" w:type="dxa"/>
            <w:shd w:val="clear" w:color="auto" w:fill="auto"/>
          </w:tcPr>
          <w:p w14:paraId="78632AF9" w14:textId="77777777" w:rsidR="004C1F77" w:rsidRPr="00FF2CE2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Osiguravanje dovoljnog broja pomoćnika u nastavi za djecu sukladno njihovim </w:t>
            </w:r>
            <w:r w:rsidRPr="00FF2C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individualnim potrebama i funkcionalnim sposobnostima</w:t>
            </w:r>
          </w:p>
        </w:tc>
        <w:tc>
          <w:tcPr>
            <w:tcW w:w="1134" w:type="dxa"/>
            <w:shd w:val="clear" w:color="auto" w:fill="auto"/>
          </w:tcPr>
          <w:p w14:paraId="0F748DB8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56D77AE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3950BA7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7ECDD69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4F6D384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3C1D6F02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50386389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1E4F675F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73D70DD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3B1FC7D2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4D418E97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670825BF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676E3507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9F54967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220DB190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  <w:p w14:paraId="02619D2F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100</w:t>
            </w:r>
          </w:p>
        </w:tc>
      </w:tr>
    </w:tbl>
    <w:p w14:paraId="4A03156A" w14:textId="77777777" w:rsidR="00A11DCF" w:rsidRPr="00FF2CE2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</w:p>
    <w:p w14:paraId="17FF96AC" w14:textId="77777777" w:rsidR="00F863C0" w:rsidRPr="00985D0A" w:rsidRDefault="00F863C0" w:rsidP="0048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27DE96A5" w14:textId="3B900936" w:rsidR="00FE7828" w:rsidRPr="00AB59B4" w:rsidRDefault="00FE7828" w:rsidP="006E2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AB59B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PROGRAM: 30</w:t>
      </w:r>
      <w:r w:rsidR="00FF06F6" w:rsidRPr="00AB59B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15</w:t>
      </w:r>
      <w:r w:rsidRPr="00AB59B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SOCIJALNI PROGRAM</w:t>
      </w:r>
    </w:p>
    <w:p w14:paraId="4D7B56E4" w14:textId="77777777" w:rsidR="00B249FC" w:rsidRPr="00AB59B4" w:rsidRDefault="00B249FC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4E230022" w14:textId="099760D2" w:rsidR="00B249FC" w:rsidRPr="00AB59B4" w:rsidRDefault="00B249FC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B59B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Program  3015 SOCIJALNI PROGRAM </w:t>
      </w:r>
      <w:r w:rsidRPr="00AB59B4">
        <w:rPr>
          <w:rFonts w:ascii="Times New Roman" w:hAnsi="Times New Roman" w:cs="Times New Roman"/>
          <w:color w:val="000000" w:themeColor="text1"/>
        </w:rPr>
        <w:t>provodi se s ciljem pružanja određenih oblika pomoći i socijalnih usluga građanima. Ovaj program obuhvaća financiranje prehrane svih učenika škole, koja se od početka 2023. godine obavlja iz izvora Ministarstva znanosti i obrazovanja.</w:t>
      </w:r>
    </w:p>
    <w:p w14:paraId="0F6A1330" w14:textId="77777777" w:rsidR="00FF2CE2" w:rsidRPr="00985D0A" w:rsidRDefault="00FF2CE2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43F11FAE" w14:textId="77777777" w:rsidR="00FF2CE2" w:rsidRPr="00FF2CE2" w:rsidRDefault="00FF2CE2" w:rsidP="00FF2CE2">
      <w:pPr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FF2CE2">
        <w:rPr>
          <w:rFonts w:ascii="Times New Roman" w:hAnsi="Times New Roman" w:cs="Times New Roman"/>
          <w:b/>
          <w:color w:val="000000" w:themeColor="text1"/>
        </w:rPr>
        <w:t>ZAKONSKE I DRUGE PODLOGE NA KOJIMA SE ZASNIVA PROGRAM</w:t>
      </w:r>
    </w:p>
    <w:p w14:paraId="14592A49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FF2CE2">
        <w:rPr>
          <w:rFonts w:ascii="Times New Roman" w:hAnsi="Times New Roman" w:cs="Times New Roman"/>
          <w:color w:val="000000" w:themeColor="text1"/>
        </w:rPr>
        <w:t xml:space="preserve">155/23 i 156/23),  </w:t>
      </w: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</w:p>
    <w:p w14:paraId="3BB7DE5A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Zakon o ustanovama (NN broj 76/93, 29/97, 47/99, 35/08,127/19 i 151/22) , </w:t>
      </w:r>
    </w:p>
    <w:p w14:paraId="17DA0681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Zakon o proračunu (NN broj 144/21).</w:t>
      </w:r>
    </w:p>
    <w:p w14:paraId="2238343E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hAnsi="Times New Roman" w:cs="Times New Roman"/>
          <w:color w:val="000000" w:themeColor="text1"/>
        </w:rPr>
        <w:t>Zakon o javnoj nabavi (NN broj 120/16 i 114/22),</w:t>
      </w:r>
    </w:p>
    <w:p w14:paraId="6138FCE6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Pravilnik o proračunskim klasifikacijama (NN broj 26/10, 120/13 i 1/20), Pravilnik o proračunskom računovodstvu i računskom planu (NN broj 124/14, 115/15, 87/16, 3/18, 126/19 i 108/20).</w:t>
      </w:r>
    </w:p>
    <w:p w14:paraId="624ADD3E" w14:textId="27A646BF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Pravilnik o financijskom izvještavanju u proračunskom računovodstvu (NN broj 37/22)</w:t>
      </w:r>
    </w:p>
    <w:p w14:paraId="3B4F50A9" w14:textId="77777777" w:rsidR="00FF2CE2" w:rsidRPr="00FF2CE2" w:rsidRDefault="002F28C6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Hiperveza"/>
          <w:rFonts w:ascii="Times New Roman" w:eastAsia="Times New Roman" w:hAnsi="Times New Roman" w:cs="Times New Roman"/>
          <w:color w:val="000000" w:themeColor="text1"/>
          <w:u w:val="none"/>
          <w:lang w:eastAsia="hr-HR"/>
        </w:rPr>
      </w:pPr>
      <w:hyperlink r:id="rId10" w:tgtFrame="_blank" w:history="1">
        <w:r w:rsidR="00FF2CE2" w:rsidRPr="00FF2CE2">
          <w:rPr>
            <w:rStyle w:val="Hiperveza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Pravilnik o provedbi Nacionalne strategije za provedbu Školske sheme voća i povrća te mlijeka i mliječnih proizvoda od školske godine 2023./2024. do školske godine 2028./2029. (NN broj 81/2023)</w:t>
        </w:r>
      </w:hyperlink>
    </w:p>
    <w:p w14:paraId="30F4D2FF" w14:textId="22E6C16E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Odluka o kriterijima i načinu financiranja, odnosno sufinanciranja troškova prehrane za učenike osnovnih škola za školsku godinu 2023./2024.</w:t>
      </w:r>
    </w:p>
    <w:p w14:paraId="6D167D9F" w14:textId="77777777" w:rsidR="00FF2CE2" w:rsidRPr="00FF2CE2" w:rsidRDefault="00FF2CE2" w:rsidP="00FF2CE2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Godišnji plan i program rada škole za školsku godinu 2023./2024. i 2024./2025. </w:t>
      </w:r>
    </w:p>
    <w:p w14:paraId="12DE1E65" w14:textId="77777777" w:rsidR="00FF2CE2" w:rsidRPr="00FF2CE2" w:rsidRDefault="00FF2CE2" w:rsidP="00FF2CE2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color w:val="000000" w:themeColor="text1"/>
          <w:sz w:val="22"/>
          <w:szCs w:val="22"/>
          <w:lang w:eastAsia="en-US"/>
        </w:rPr>
      </w:pPr>
      <w:r w:rsidRPr="00FF2CE2">
        <w:rPr>
          <w:color w:val="000000" w:themeColor="text1"/>
          <w:sz w:val="22"/>
          <w:szCs w:val="22"/>
        </w:rPr>
        <w:t>Školski kurikulum OŠ „Braća Radić“, nastavne i izvannastavne aktivnosti za školsku godinu 2023./2024. i 2024./2025.</w:t>
      </w:r>
    </w:p>
    <w:p w14:paraId="1FAEF909" w14:textId="77777777" w:rsidR="002E1605" w:rsidRPr="00B4628C" w:rsidRDefault="002E1605" w:rsidP="004832C9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163E4EC" w14:textId="2831F5C9" w:rsidR="004832C9" w:rsidRPr="00B4628C" w:rsidRDefault="004832C9" w:rsidP="004832C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4628C">
        <w:rPr>
          <w:rFonts w:ascii="Times New Roman" w:hAnsi="Times New Roman" w:cs="Times New Roman"/>
          <w:b/>
          <w:color w:val="000000" w:themeColor="text1"/>
        </w:rPr>
        <w:t>AKTIVNOST A301504 Pomoć za podmirenje troškova prehrane učenika osnovnih škola – 04 O.Š. „Braća Radić“</w:t>
      </w:r>
    </w:p>
    <w:p w14:paraId="0052116C" w14:textId="3285A256" w:rsidR="004832C9" w:rsidRPr="00B4628C" w:rsidRDefault="004832C9" w:rsidP="004832C9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B4628C">
        <w:rPr>
          <w:rFonts w:ascii="Times New Roman" w:hAnsi="Times New Roman" w:cs="Times New Roman"/>
          <w:bCs/>
          <w:color w:val="000000" w:themeColor="text1"/>
          <w:u w:val="single"/>
        </w:rPr>
        <w:t>Opis i cilj aktivnosti</w:t>
      </w:r>
    </w:p>
    <w:p w14:paraId="67730DFC" w14:textId="2E5C1D97" w:rsidR="004832C9" w:rsidRPr="00B4628C" w:rsidRDefault="000002C3" w:rsidP="00AF3D1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  <w:color w:val="000000" w:themeColor="text1"/>
        </w:rPr>
      </w:pPr>
      <w:r w:rsidRPr="00B4628C">
        <w:rPr>
          <w:rFonts w:ascii="Times New Roman" w:hAnsi="Times New Roman" w:cs="Times New Roman"/>
          <w:bCs/>
          <w:color w:val="000000" w:themeColor="text1"/>
        </w:rPr>
        <w:t>U ovoj aktivnosti se</w:t>
      </w:r>
      <w:r w:rsidR="004832C9" w:rsidRPr="00B4628C">
        <w:rPr>
          <w:rFonts w:ascii="Times New Roman" w:hAnsi="Times New Roman" w:cs="Times New Roman"/>
          <w:bCs/>
          <w:color w:val="000000" w:themeColor="text1"/>
        </w:rPr>
        <w:t xml:space="preserve"> financira prehrana učenika koji se žele hraniti u školskoj kuhinji kao i Shema voća, a ima za cilj:</w:t>
      </w:r>
    </w:p>
    <w:p w14:paraId="43EC6DC4" w14:textId="15A62AFF" w:rsidR="004832C9" w:rsidRPr="00B4628C" w:rsidRDefault="004832C9" w:rsidP="00AF3D11">
      <w:pPr>
        <w:pStyle w:val="Odlomakpopisa"/>
        <w:numPr>
          <w:ilvl w:val="0"/>
          <w:numId w:val="27"/>
        </w:numPr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 w:rsidRPr="00B4628C">
        <w:rPr>
          <w:color w:val="000000" w:themeColor="text1"/>
          <w:sz w:val="22"/>
          <w:szCs w:val="22"/>
        </w:rPr>
        <w:t>priprema kuhane hrane djeci te samim time dobivanje kvalitetnijeg obroka</w:t>
      </w:r>
    </w:p>
    <w:p w14:paraId="603BCBAC" w14:textId="1EE7FBE7" w:rsidR="004832C9" w:rsidRPr="00B4628C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4628C">
        <w:rPr>
          <w:rFonts w:ascii="Times New Roman" w:hAnsi="Times New Roman" w:cs="Times New Roman"/>
          <w:color w:val="000000" w:themeColor="text1"/>
        </w:rPr>
        <w:t>povećanje unosa svježeg voća te smanjenja unosa hrane s visokim sadržajem masti, šećera i soli u svakodnevnoj prehrani učenika,</w:t>
      </w:r>
    </w:p>
    <w:p w14:paraId="71016CA8" w14:textId="3EA334DF" w:rsidR="004832C9" w:rsidRPr="00B4628C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4628C">
        <w:rPr>
          <w:rFonts w:ascii="Times New Roman" w:hAnsi="Times New Roman" w:cs="Times New Roman"/>
          <w:color w:val="000000" w:themeColor="text1"/>
        </w:rPr>
        <w:t xml:space="preserve">podizanja razine znanja o važnosti zdrave prehrane i nutritivnim vrijednostima svježeg </w:t>
      </w:r>
      <w:r w:rsidR="006E2630" w:rsidRPr="00B4628C">
        <w:rPr>
          <w:rFonts w:ascii="Times New Roman" w:hAnsi="Times New Roman" w:cs="Times New Roman"/>
          <w:color w:val="000000" w:themeColor="text1"/>
        </w:rPr>
        <w:t>voća</w:t>
      </w:r>
    </w:p>
    <w:p w14:paraId="5EB26DCD" w14:textId="77777777" w:rsidR="004832C9" w:rsidRPr="00B4628C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4628C">
        <w:rPr>
          <w:rFonts w:ascii="Times New Roman" w:hAnsi="Times New Roman" w:cs="Times New Roman"/>
          <w:color w:val="000000" w:themeColor="text1"/>
        </w:rPr>
        <w:t>edukaciju učenika u cilju smanjenja otpada od hrane.</w:t>
      </w:r>
    </w:p>
    <w:p w14:paraId="756782A1" w14:textId="2B12A822" w:rsidR="002A2C3B" w:rsidRPr="00B4628C" w:rsidRDefault="002A2C3B" w:rsidP="00AF3D1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  <w:color w:val="000000" w:themeColor="text1"/>
        </w:rPr>
      </w:pPr>
      <w:r w:rsidRPr="00B4628C">
        <w:rPr>
          <w:rFonts w:ascii="Times New Roman" w:hAnsi="Times New Roman" w:cs="Times New Roman"/>
          <w:bCs/>
          <w:color w:val="000000" w:themeColor="text1"/>
        </w:rPr>
        <w:t xml:space="preserve">U ovoj aktivnosti </w:t>
      </w:r>
      <w:r w:rsidR="00496C10">
        <w:rPr>
          <w:rFonts w:ascii="Times New Roman" w:hAnsi="Times New Roman" w:cs="Times New Roman"/>
          <w:bCs/>
          <w:color w:val="000000" w:themeColor="text1"/>
        </w:rPr>
        <w:t>je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4628C" w:rsidRPr="00B4628C">
        <w:rPr>
          <w:rFonts w:ascii="Times New Roman" w:hAnsi="Times New Roman" w:cs="Times New Roman"/>
          <w:bCs/>
          <w:color w:val="000000" w:themeColor="text1"/>
        </w:rPr>
        <w:t>povećanje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plana za </w:t>
      </w:r>
      <w:r w:rsidR="00B4628C" w:rsidRPr="00B4628C">
        <w:rPr>
          <w:rFonts w:ascii="Times New Roman" w:hAnsi="Times New Roman" w:cs="Times New Roman"/>
          <w:bCs/>
          <w:color w:val="000000" w:themeColor="text1"/>
        </w:rPr>
        <w:t>6.174,00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EUR </w:t>
      </w:r>
      <w:r w:rsidR="00496C10">
        <w:rPr>
          <w:rFonts w:ascii="Times New Roman" w:hAnsi="Times New Roman" w:cs="Times New Roman"/>
          <w:bCs/>
          <w:color w:val="000000" w:themeColor="text1"/>
        </w:rPr>
        <w:t xml:space="preserve">te </w:t>
      </w:r>
      <w:r w:rsidRPr="00B4628C">
        <w:rPr>
          <w:rFonts w:ascii="Times New Roman" w:hAnsi="Times New Roman" w:cs="Times New Roman"/>
          <w:bCs/>
          <w:color w:val="000000" w:themeColor="text1"/>
        </w:rPr>
        <w:t>Aktivnost iznosi</w:t>
      </w:r>
      <w:r w:rsidR="00496C1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4628C" w:rsidRPr="00B4628C">
        <w:rPr>
          <w:rFonts w:ascii="Times New Roman" w:hAnsi="Times New Roman" w:cs="Times New Roman"/>
          <w:bCs/>
          <w:color w:val="000000" w:themeColor="text1"/>
        </w:rPr>
        <w:t>210.439,00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EUR. Na skupini 32 Materijalni rashodi 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 xml:space="preserve">iz izvora donacije 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je 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>smanjenje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od </w:t>
      </w:r>
      <w:r w:rsidR="00B4628C" w:rsidRPr="00B4628C">
        <w:rPr>
          <w:rFonts w:ascii="Times New Roman" w:hAnsi="Times New Roman" w:cs="Times New Roman"/>
          <w:bCs/>
          <w:color w:val="000000" w:themeColor="text1"/>
        </w:rPr>
        <w:t>298,00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EU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 xml:space="preserve">R </w:t>
      </w:r>
      <w:r w:rsidR="001E5370">
        <w:rPr>
          <w:rFonts w:ascii="Times New Roman" w:hAnsi="Times New Roman" w:cs="Times New Roman"/>
          <w:bCs/>
          <w:color w:val="000000" w:themeColor="text1"/>
        </w:rPr>
        <w:t xml:space="preserve">prema ostvarenoj realizaciji 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 xml:space="preserve">za </w:t>
      </w:r>
      <w:r w:rsidR="00787908" w:rsidRPr="00B4628C">
        <w:rPr>
          <w:rFonts w:ascii="Times New Roman" w:hAnsi="Times New Roman" w:cs="Times New Roman"/>
          <w:bCs/>
          <w:color w:val="000000" w:themeColor="text1"/>
        </w:rPr>
        <w:t xml:space="preserve">donaciju 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>voć</w:t>
      </w:r>
      <w:r w:rsidR="00787908" w:rsidRPr="00B4628C">
        <w:rPr>
          <w:rFonts w:ascii="Times New Roman" w:hAnsi="Times New Roman" w:cs="Times New Roman"/>
          <w:bCs/>
          <w:color w:val="000000" w:themeColor="text1"/>
        </w:rPr>
        <w:t>a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 xml:space="preserve"> koje </w:t>
      </w:r>
      <w:r w:rsidR="00B4628C" w:rsidRPr="00B4628C">
        <w:rPr>
          <w:rFonts w:ascii="Times New Roman" w:hAnsi="Times New Roman" w:cs="Times New Roman"/>
          <w:bCs/>
          <w:color w:val="000000" w:themeColor="text1"/>
        </w:rPr>
        <w:t xml:space="preserve">smo 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>dobiva</w:t>
      </w:r>
      <w:r w:rsidR="00B4628C" w:rsidRPr="00B4628C">
        <w:rPr>
          <w:rFonts w:ascii="Times New Roman" w:hAnsi="Times New Roman" w:cs="Times New Roman"/>
          <w:bCs/>
          <w:color w:val="000000" w:themeColor="text1"/>
        </w:rPr>
        <w:t>li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 xml:space="preserve"> od Kauflanda. Na skupini 32 iz izvora nenadležni proračun je prijedlog povećanja od </w:t>
      </w:r>
      <w:r w:rsidR="00B4628C" w:rsidRPr="00B4628C">
        <w:rPr>
          <w:rFonts w:ascii="Times New Roman" w:hAnsi="Times New Roman" w:cs="Times New Roman"/>
          <w:bCs/>
          <w:color w:val="000000" w:themeColor="text1"/>
        </w:rPr>
        <w:t>6.472,00</w:t>
      </w:r>
      <w:r w:rsidR="004E5320" w:rsidRPr="00B4628C">
        <w:rPr>
          <w:rFonts w:ascii="Times New Roman" w:hAnsi="Times New Roman" w:cs="Times New Roman"/>
          <w:bCs/>
          <w:color w:val="000000" w:themeColor="text1"/>
        </w:rPr>
        <w:t xml:space="preserve"> EUR </w:t>
      </w:r>
      <w:r w:rsidR="00B4628C" w:rsidRPr="00B4628C">
        <w:rPr>
          <w:rFonts w:ascii="Times New Roman" w:hAnsi="Times New Roman" w:cs="Times New Roman"/>
          <w:bCs/>
          <w:color w:val="000000" w:themeColor="text1"/>
        </w:rPr>
        <w:t>prema sadašnjem broju učenika u školi.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DB9D79A" w14:textId="16302FBF" w:rsidR="002A2C3B" w:rsidRPr="00B4628C" w:rsidRDefault="002A2C3B" w:rsidP="00AF3D11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B4628C">
        <w:rPr>
          <w:rFonts w:ascii="Times New Roman" w:hAnsi="Times New Roman" w:cs="Times New Roman"/>
          <w:bCs/>
          <w:color w:val="000000" w:themeColor="text1"/>
        </w:rPr>
        <w:t xml:space="preserve">U sklopu Aktivnosti je </w:t>
      </w:r>
      <w:r w:rsidR="00787908" w:rsidRPr="00B4628C">
        <w:rPr>
          <w:rFonts w:ascii="Times New Roman" w:hAnsi="Times New Roman" w:cs="Times New Roman"/>
          <w:bCs/>
          <w:color w:val="000000" w:themeColor="text1"/>
        </w:rPr>
        <w:t>uvršten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manjak za Shemu voća u iznosu od </w:t>
      </w:r>
      <w:r w:rsidR="00787908" w:rsidRPr="00B4628C">
        <w:rPr>
          <w:rFonts w:ascii="Times New Roman" w:hAnsi="Times New Roman" w:cs="Times New Roman"/>
          <w:bCs/>
          <w:color w:val="000000" w:themeColor="text1"/>
        </w:rPr>
        <w:t>604,01</w:t>
      </w:r>
      <w:r w:rsidRPr="00B4628C">
        <w:rPr>
          <w:rFonts w:ascii="Times New Roman" w:hAnsi="Times New Roman" w:cs="Times New Roman"/>
          <w:bCs/>
          <w:color w:val="000000" w:themeColor="text1"/>
        </w:rPr>
        <w:t xml:space="preserve"> EUR</w:t>
      </w:r>
      <w:r w:rsidR="00787908" w:rsidRPr="00B4628C">
        <w:rPr>
          <w:rFonts w:ascii="Times New Roman" w:hAnsi="Times New Roman" w:cs="Times New Roman"/>
          <w:bCs/>
          <w:color w:val="000000" w:themeColor="text1"/>
        </w:rPr>
        <w:t>, manjak od nenadležnog proračuna za 2023. godinu za prehranu učenika u iznosu od 17.118,19 EUR</w:t>
      </w:r>
      <w:r w:rsidR="006E2630" w:rsidRPr="00B4628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87908" w:rsidRPr="00B4628C">
        <w:rPr>
          <w:rFonts w:ascii="Times New Roman" w:hAnsi="Times New Roman" w:cs="Times New Roman"/>
          <w:bCs/>
          <w:color w:val="000000" w:themeColor="text1"/>
        </w:rPr>
        <w:t>te višak od uplate roditelja za školsku kuhinju 576,07 EUR.</w:t>
      </w:r>
    </w:p>
    <w:p w14:paraId="2CCDFA3D" w14:textId="77777777" w:rsidR="00E71D1A" w:rsidRPr="00985D0A" w:rsidRDefault="00E71D1A" w:rsidP="00E71D1A">
      <w:pPr>
        <w:spacing w:after="0"/>
        <w:ind w:firstLine="360"/>
        <w:rPr>
          <w:rFonts w:ascii="Times New Roman" w:hAnsi="Times New Roman" w:cs="Times New Roman"/>
          <w:bCs/>
          <w:color w:val="FF0000"/>
        </w:rPr>
      </w:pPr>
    </w:p>
    <w:p w14:paraId="13A050D9" w14:textId="77777777" w:rsidR="00A5734C" w:rsidRPr="00FF2CE2" w:rsidRDefault="00A5734C" w:rsidP="00A5734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F2CE2">
        <w:rPr>
          <w:rFonts w:ascii="Times New Roman" w:hAnsi="Times New Roman" w:cs="Times New Roman"/>
          <w:b/>
          <w:bCs/>
          <w:color w:val="000000" w:themeColor="text1"/>
        </w:rPr>
        <w:t>CILJEVI I POKAZATELJI USPJEŠNOSTI IZ AKATA STRATEŠKOG PLANIRANJA I GODIŠNJEG PLANA RADA</w:t>
      </w:r>
    </w:p>
    <w:p w14:paraId="76A2945D" w14:textId="216B632A" w:rsidR="00E71D1A" w:rsidRPr="00FF2CE2" w:rsidRDefault="00E71D1A" w:rsidP="00691E3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F2CE2">
        <w:rPr>
          <w:rFonts w:ascii="Times New Roman" w:hAnsi="Times New Roman" w:cs="Times New Roman"/>
          <w:b/>
          <w:bCs/>
          <w:color w:val="000000" w:themeColor="text1"/>
        </w:rPr>
        <w:t>CILJ: Osiguranje prehrane za</w:t>
      </w:r>
      <w:r w:rsidR="00691E39" w:rsidRPr="00FF2CE2">
        <w:rPr>
          <w:rFonts w:ascii="Times New Roman" w:hAnsi="Times New Roman" w:cs="Times New Roman"/>
          <w:b/>
          <w:bCs/>
          <w:color w:val="000000" w:themeColor="text1"/>
        </w:rPr>
        <w:t xml:space="preserve"> sve </w:t>
      </w:r>
      <w:r w:rsidRPr="00FF2CE2">
        <w:rPr>
          <w:rFonts w:ascii="Times New Roman" w:hAnsi="Times New Roman" w:cs="Times New Roman"/>
          <w:b/>
          <w:bCs/>
          <w:color w:val="000000" w:themeColor="text1"/>
        </w:rPr>
        <w:t>učenik</w:t>
      </w:r>
      <w:r w:rsidR="00691E39" w:rsidRPr="00FF2CE2">
        <w:rPr>
          <w:rFonts w:ascii="Times New Roman" w:hAnsi="Times New Roman" w:cs="Times New Roman"/>
          <w:b/>
          <w:bCs/>
          <w:color w:val="000000" w:themeColor="text1"/>
        </w:rPr>
        <w:t>e</w:t>
      </w:r>
      <w:r w:rsidRPr="00FF2CE2">
        <w:rPr>
          <w:rFonts w:ascii="Times New Roman" w:hAnsi="Times New Roman" w:cs="Times New Roman"/>
          <w:b/>
          <w:bCs/>
          <w:color w:val="000000" w:themeColor="text1"/>
        </w:rPr>
        <w:t xml:space="preserve"> škole</w:t>
      </w:r>
    </w:p>
    <w:p w14:paraId="5D31A1DD" w14:textId="1D59C6AC" w:rsidR="00691E39" w:rsidRPr="00FF2CE2" w:rsidRDefault="00E71D1A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F2CE2">
        <w:rPr>
          <w:rFonts w:ascii="Times New Roman" w:hAnsi="Times New Roman" w:cs="Times New Roman"/>
          <w:color w:val="000000" w:themeColor="text1"/>
        </w:rPr>
        <w:t xml:space="preserve">Ovim ciljem se želi postići da se </w:t>
      </w:r>
      <w:r w:rsidR="00691E39" w:rsidRPr="00FF2CE2">
        <w:rPr>
          <w:rFonts w:ascii="Times New Roman" w:hAnsi="Times New Roman" w:cs="Times New Roman"/>
          <w:color w:val="000000" w:themeColor="text1"/>
        </w:rPr>
        <w:t>svi učenici</w:t>
      </w:r>
      <w:r w:rsidRPr="00FF2CE2">
        <w:rPr>
          <w:rFonts w:ascii="Times New Roman" w:hAnsi="Times New Roman" w:cs="Times New Roman"/>
          <w:color w:val="000000" w:themeColor="text1"/>
        </w:rPr>
        <w:t xml:space="preserve"> hran</w:t>
      </w:r>
      <w:r w:rsidR="00691E39" w:rsidRPr="00FF2CE2">
        <w:rPr>
          <w:rFonts w:ascii="Times New Roman" w:hAnsi="Times New Roman" w:cs="Times New Roman"/>
          <w:color w:val="000000" w:themeColor="text1"/>
        </w:rPr>
        <w:t>e</w:t>
      </w:r>
      <w:r w:rsidRPr="00FF2CE2">
        <w:rPr>
          <w:rFonts w:ascii="Times New Roman" w:hAnsi="Times New Roman" w:cs="Times New Roman"/>
          <w:color w:val="000000" w:themeColor="text1"/>
        </w:rPr>
        <w:t xml:space="preserve"> u školskoj kuhinji s obzirom da od 2023. godine prehranu financira Ministarstvo znanosti i obrazovanja te je za sve učenika besplatna.</w:t>
      </w:r>
    </w:p>
    <w:p w14:paraId="3BD964C4" w14:textId="77777777" w:rsidR="00691E39" w:rsidRPr="00FF2CE2" w:rsidRDefault="00691E39" w:rsidP="00691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722"/>
        <w:gridCol w:w="992"/>
        <w:gridCol w:w="1134"/>
        <w:gridCol w:w="1276"/>
        <w:gridCol w:w="1275"/>
      </w:tblGrid>
      <w:tr w:rsidR="00985D0A" w:rsidRPr="00FF2CE2" w14:paraId="79DAAB4C" w14:textId="77777777" w:rsidTr="004C1F77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ABF503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12E3598C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EF0117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0A098FCC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DE40AE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08641633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B464D8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5D8D5C6D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FB704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42BCD0C5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AF0BD7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16660B2E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FF2CE2" w14:paraId="1BF85062" w14:textId="77777777" w:rsidTr="004C1F77">
        <w:trPr>
          <w:trHeight w:val="4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0B6" w14:textId="77777777" w:rsidR="004C1F77" w:rsidRPr="00FF2CE2" w:rsidRDefault="004C1F77" w:rsidP="006819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58BAEE" w14:textId="7C46BBC5" w:rsidR="004C1F77" w:rsidRPr="00FF2CE2" w:rsidRDefault="004C1F77" w:rsidP="006819C5">
            <w:pPr>
              <w:ind w:left="-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Povećanje broja učenika koji se hrane u školskoj kuhinji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D1E" w14:textId="5A16F2B8" w:rsidR="004C1F77" w:rsidRPr="00FF2CE2" w:rsidRDefault="004C1F77" w:rsidP="00681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Osiguravanjem besplatnih obroka za sve učenike škole omogućava se svakom učeniku da se hrani u školskoj kuhinji i da dnevno dobije kvalitetan obrok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DE0" w14:textId="77777777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1F8C61" w14:textId="77777777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59558F" w14:textId="59122DE3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D25" w14:textId="77777777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E8EEC7" w14:textId="77777777" w:rsidR="004C1F77" w:rsidRPr="00FF2CE2" w:rsidRDefault="004C1F77" w:rsidP="00741E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1D13D1" w14:textId="6FC76E71" w:rsidR="004C1F77" w:rsidRPr="00FF2CE2" w:rsidRDefault="004C1F77" w:rsidP="00741E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CBA" w14:textId="77777777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BC7288" w14:textId="77777777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827F68" w14:textId="77777777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00F" w14:textId="77777777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5D279A" w14:textId="77777777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C50501" w14:textId="243708DA" w:rsidR="004C1F77" w:rsidRPr="00FF2CE2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16A52D6F" w14:textId="77777777" w:rsidR="006819C5" w:rsidRPr="00985D0A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1D6BD3DC" w14:textId="77777777" w:rsidR="006819C5" w:rsidRPr="00846E22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7552463E" w14:textId="59CCB5EB" w:rsidR="00B249FC" w:rsidRPr="00846E22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846E2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PROGRAM 9000 COP</w:t>
      </w:r>
    </w:p>
    <w:p w14:paraId="54B2DE44" w14:textId="77777777" w:rsidR="00B249FC" w:rsidRPr="00846E22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6D05C692" w14:textId="15526268" w:rsidR="00B249FC" w:rsidRPr="00846E22" w:rsidRDefault="00B249FC" w:rsidP="00741E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846E22">
        <w:rPr>
          <w:rFonts w:ascii="Times New Roman" w:hAnsi="Times New Roman" w:cs="Times New Roman"/>
          <w:b/>
          <w:color w:val="000000" w:themeColor="text1"/>
        </w:rPr>
        <w:t>Program 9000 COP</w:t>
      </w:r>
      <w:r w:rsidRPr="00846E22">
        <w:rPr>
          <w:rFonts w:ascii="Times New Roman" w:hAnsi="Times New Roman" w:cs="Times New Roman"/>
          <w:bCs/>
          <w:color w:val="000000" w:themeColor="text1"/>
        </w:rPr>
        <w:t xml:space="preserve"> obuhvaća aktivnost kojom se osiguravaju sredstva za redovno financiranje materijalnih prava iz radnog odnosa svih zaposlenika OŠ „Braća Radić“ Koprivnica, osim pomoćnika u nastavi koji se financiraju preko aktivnosti ODJEK. Rashodi se odnose na sredstva za plaće, doprinose na plaću i ostala materijalna prava temeljem kolektivnog ugovora (jubilarna nagrada, božićnica, regres</w:t>
      </w:r>
      <w:r w:rsidR="006E2630" w:rsidRPr="00846E22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6E2630" w:rsidRPr="00846E22">
        <w:rPr>
          <w:rFonts w:ascii="Times New Roman" w:hAnsi="Times New Roman" w:cs="Times New Roman"/>
          <w:bCs/>
          <w:color w:val="000000" w:themeColor="text1"/>
        </w:rPr>
        <w:t>uskrsnica</w:t>
      </w:r>
      <w:proofErr w:type="spellEnd"/>
      <w:r w:rsidRPr="00846E22">
        <w:rPr>
          <w:rFonts w:ascii="Times New Roman" w:hAnsi="Times New Roman" w:cs="Times New Roman"/>
          <w:bCs/>
          <w:color w:val="000000" w:themeColor="text1"/>
        </w:rPr>
        <w:t xml:space="preserve"> te razne pomoći).</w:t>
      </w:r>
    </w:p>
    <w:p w14:paraId="28C533C6" w14:textId="77777777" w:rsidR="006967E9" w:rsidRPr="00985D0A" w:rsidRDefault="006967E9" w:rsidP="00846E22">
      <w:pPr>
        <w:spacing w:after="0"/>
        <w:jc w:val="both"/>
        <w:rPr>
          <w:rFonts w:ascii="Times New Roman" w:hAnsi="Times New Roman" w:cs="Times New Roman"/>
          <w:bCs/>
          <w:color w:val="FF0000"/>
        </w:rPr>
      </w:pPr>
    </w:p>
    <w:p w14:paraId="1FCCA050" w14:textId="77777777" w:rsidR="00FF2CE2" w:rsidRPr="00AD26E0" w:rsidRDefault="00FF2CE2" w:rsidP="00FF2CE2">
      <w:pPr>
        <w:ind w:firstLine="360"/>
        <w:jc w:val="both"/>
        <w:rPr>
          <w:rFonts w:ascii="Times New Roman" w:hAnsi="Times New Roman" w:cs="Times New Roman"/>
          <w:b/>
        </w:rPr>
      </w:pPr>
      <w:r w:rsidRPr="00AD26E0">
        <w:rPr>
          <w:rFonts w:ascii="Times New Roman" w:hAnsi="Times New Roman" w:cs="Times New Roman"/>
          <w:b/>
        </w:rPr>
        <w:t>ZAKONSKE I DRUGE PODLOGE NA KOJIMA SE ZASNIVA PROGRAM</w:t>
      </w:r>
    </w:p>
    <w:p w14:paraId="082EEA05" w14:textId="77777777" w:rsidR="00FF2CE2" w:rsidRPr="00AD26E0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AD26E0">
        <w:rPr>
          <w:rFonts w:ascii="Times New Roman" w:hAnsi="Times New Roman" w:cs="Times New Roman"/>
        </w:rPr>
        <w:t xml:space="preserve">155/23 i 156/23),  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0AD463D6" w14:textId="77777777" w:rsidR="00FF2CE2" w:rsidRPr="00AD26E0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4D1BA33C" w14:textId="13D1362F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38521ED2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Pravilnik o proračunskim klasifikacijama (NN broj 26/10, 120/13 i 1/20), Pravilnik o proračunskom računovodstvu i računskom planu (NN broj 124/14, 115/15, 87/16, 3/18, 126/19 i 108/20).</w:t>
      </w:r>
    </w:p>
    <w:p w14:paraId="417538F4" w14:textId="77777777" w:rsidR="00FF2CE2" w:rsidRPr="00FF2CE2" w:rsidRDefault="00FF2CE2" w:rsidP="00FF2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F2CE2">
        <w:rPr>
          <w:rFonts w:ascii="Times New Roman" w:eastAsia="Times New Roman" w:hAnsi="Times New Roman" w:cs="Times New Roman"/>
          <w:color w:val="000000" w:themeColor="text1"/>
          <w:lang w:eastAsia="hr-HR"/>
        </w:rPr>
        <w:t>Pravilnik o financijskom izvještavanju u proračunskom računovodstvu (NN broj 37/22)</w:t>
      </w:r>
    </w:p>
    <w:p w14:paraId="24CB8E7A" w14:textId="77777777" w:rsidR="00FF2CE2" w:rsidRPr="00985D0A" w:rsidRDefault="00FF2CE2" w:rsidP="00FF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77BFBAB9" w14:textId="77777777" w:rsidR="001E5370" w:rsidRDefault="001E5370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5E45A697" w14:textId="4BCC4D56" w:rsidR="00E36B98" w:rsidRPr="00893EDF" w:rsidRDefault="00215278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893EDF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AKTIVNOST: 900002 COP OŠ „Braća Radić“</w:t>
      </w:r>
    </w:p>
    <w:p w14:paraId="363564DE" w14:textId="77777777" w:rsidR="00B249FC" w:rsidRPr="00893EDF" w:rsidRDefault="00B249FC" w:rsidP="00E36B9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bookmarkStart w:id="1" w:name="_Hlk109200355"/>
      <w:r w:rsidRPr="00893EDF">
        <w:rPr>
          <w:rFonts w:ascii="Times New Roman" w:hAnsi="Times New Roman" w:cs="Times New Roman"/>
          <w:bCs/>
          <w:color w:val="000000" w:themeColor="text1"/>
          <w:u w:val="single"/>
        </w:rPr>
        <w:t>Opis i cilj aktivnosti</w:t>
      </w:r>
      <w:bookmarkEnd w:id="1"/>
    </w:p>
    <w:p w14:paraId="5BD2FED2" w14:textId="3692EBF5" w:rsidR="002A2C3B" w:rsidRPr="00893EDF" w:rsidRDefault="002A2C3B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893EDF">
        <w:rPr>
          <w:rFonts w:ascii="Times New Roman" w:hAnsi="Times New Roman" w:cs="Times New Roman"/>
          <w:bCs/>
          <w:color w:val="000000" w:themeColor="text1"/>
        </w:rPr>
        <w:t>Program obuhvaća aktivnosti kojom se osiguravaju sredstva za redovno financiranje materijalnih prava iz radnog odnosa svih zaposlenika OŠ „Braća Radić“ Koprivnica, osim pomoćnika u nastavi koji se financiraju preko aktivnosti ODJEK. Rashodi se odnose na sredstva za plaće, doprinose na plaću i ostala materijalna prava temeljem kolektivnog ugovora (jubilarna nagrada, božićnica, regres</w:t>
      </w:r>
      <w:r w:rsidR="001E5370">
        <w:rPr>
          <w:rFonts w:ascii="Times New Roman" w:hAnsi="Times New Roman" w:cs="Times New Roman"/>
          <w:bCs/>
          <w:color w:val="000000" w:themeColor="text1"/>
        </w:rPr>
        <w:t xml:space="preserve">, dar za dijete, </w:t>
      </w:r>
      <w:proofErr w:type="spellStart"/>
      <w:r w:rsidR="001E5370">
        <w:rPr>
          <w:rFonts w:ascii="Times New Roman" w:hAnsi="Times New Roman" w:cs="Times New Roman"/>
          <w:bCs/>
          <w:color w:val="000000" w:themeColor="text1"/>
        </w:rPr>
        <w:t>uskrsnica</w:t>
      </w:r>
      <w:proofErr w:type="spellEnd"/>
      <w:r w:rsidR="001E537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93EDF">
        <w:rPr>
          <w:rFonts w:ascii="Times New Roman" w:hAnsi="Times New Roman" w:cs="Times New Roman"/>
          <w:bCs/>
          <w:color w:val="000000" w:themeColor="text1"/>
        </w:rPr>
        <w:t xml:space="preserve"> te razne pomoći).</w:t>
      </w:r>
    </w:p>
    <w:p w14:paraId="5ADD0AC6" w14:textId="75695BA0" w:rsidR="00787908" w:rsidRPr="006C666A" w:rsidRDefault="002A2C3B" w:rsidP="002A2C3B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color w:val="000000" w:themeColor="text1"/>
          <w:sz w:val="22"/>
          <w:szCs w:val="22"/>
        </w:rPr>
      </w:pPr>
      <w:r w:rsidRPr="006C666A">
        <w:rPr>
          <w:color w:val="000000" w:themeColor="text1"/>
          <w:sz w:val="22"/>
          <w:szCs w:val="22"/>
        </w:rPr>
        <w:t>I</w:t>
      </w:r>
      <w:r w:rsidR="00893EDF" w:rsidRPr="006C666A">
        <w:rPr>
          <w:color w:val="000000" w:themeColor="text1"/>
          <w:sz w:val="22"/>
          <w:szCs w:val="22"/>
        </w:rPr>
        <w:t>I</w:t>
      </w:r>
      <w:r w:rsidRPr="006C666A">
        <w:rPr>
          <w:color w:val="000000" w:themeColor="text1"/>
          <w:sz w:val="22"/>
          <w:szCs w:val="22"/>
        </w:rPr>
        <w:t>. Izmjen</w:t>
      </w:r>
      <w:r w:rsidR="00496C10">
        <w:rPr>
          <w:color w:val="000000" w:themeColor="text1"/>
          <w:sz w:val="22"/>
          <w:szCs w:val="22"/>
        </w:rPr>
        <w:t>e</w:t>
      </w:r>
      <w:r w:rsidRPr="006C666A">
        <w:rPr>
          <w:color w:val="000000" w:themeColor="text1"/>
          <w:sz w:val="22"/>
          <w:szCs w:val="22"/>
        </w:rPr>
        <w:t xml:space="preserve"> i dopun</w:t>
      </w:r>
      <w:r w:rsidR="00496C10">
        <w:rPr>
          <w:color w:val="000000" w:themeColor="text1"/>
          <w:sz w:val="22"/>
          <w:szCs w:val="22"/>
        </w:rPr>
        <w:t>e</w:t>
      </w:r>
      <w:r w:rsidRPr="006C666A">
        <w:rPr>
          <w:color w:val="000000" w:themeColor="text1"/>
          <w:sz w:val="22"/>
          <w:szCs w:val="22"/>
        </w:rPr>
        <w:t xml:space="preserve"> Plana za 202</w:t>
      </w:r>
      <w:r w:rsidR="00787908" w:rsidRPr="006C666A">
        <w:rPr>
          <w:color w:val="000000" w:themeColor="text1"/>
          <w:sz w:val="22"/>
          <w:szCs w:val="22"/>
        </w:rPr>
        <w:t>4</w:t>
      </w:r>
      <w:r w:rsidRPr="006C666A">
        <w:rPr>
          <w:color w:val="000000" w:themeColor="text1"/>
          <w:sz w:val="22"/>
          <w:szCs w:val="22"/>
        </w:rPr>
        <w:t>. godinu obuhvaća</w:t>
      </w:r>
      <w:r w:rsidR="00496C10">
        <w:rPr>
          <w:color w:val="000000" w:themeColor="text1"/>
          <w:sz w:val="22"/>
          <w:szCs w:val="22"/>
        </w:rPr>
        <w:t>ju</w:t>
      </w:r>
      <w:r w:rsidRPr="006C666A">
        <w:rPr>
          <w:color w:val="000000" w:themeColor="text1"/>
          <w:sz w:val="22"/>
          <w:szCs w:val="22"/>
        </w:rPr>
        <w:t xml:space="preserve"> </w:t>
      </w:r>
      <w:r w:rsidR="00893EDF" w:rsidRPr="006C666A">
        <w:rPr>
          <w:color w:val="000000" w:themeColor="text1"/>
          <w:sz w:val="22"/>
          <w:szCs w:val="22"/>
        </w:rPr>
        <w:t>smanjenje</w:t>
      </w:r>
      <w:r w:rsidRPr="006C666A">
        <w:rPr>
          <w:color w:val="000000" w:themeColor="text1"/>
          <w:sz w:val="22"/>
          <w:szCs w:val="22"/>
        </w:rPr>
        <w:t xml:space="preserve"> u iznosu od </w:t>
      </w:r>
      <w:r w:rsidR="00893EDF" w:rsidRPr="006C666A">
        <w:rPr>
          <w:color w:val="000000" w:themeColor="text1"/>
          <w:sz w:val="22"/>
          <w:szCs w:val="22"/>
        </w:rPr>
        <w:t>229.720,00</w:t>
      </w:r>
      <w:r w:rsidRPr="006C666A">
        <w:rPr>
          <w:color w:val="000000" w:themeColor="text1"/>
          <w:sz w:val="22"/>
          <w:szCs w:val="22"/>
        </w:rPr>
        <w:t xml:space="preserve"> EUR za isplatu plaća, doprinosa i ostalih rashoda za zaposlene preko COP-a te bi aktivnost iznosila </w:t>
      </w:r>
      <w:r w:rsidR="00893EDF" w:rsidRPr="006C666A">
        <w:rPr>
          <w:color w:val="000000" w:themeColor="text1"/>
          <w:sz w:val="22"/>
          <w:szCs w:val="22"/>
        </w:rPr>
        <w:t>2.469.416,00</w:t>
      </w:r>
      <w:r w:rsidR="00787908" w:rsidRPr="006C666A">
        <w:rPr>
          <w:color w:val="000000" w:themeColor="text1"/>
          <w:sz w:val="22"/>
          <w:szCs w:val="22"/>
        </w:rPr>
        <w:t xml:space="preserve"> </w:t>
      </w:r>
      <w:r w:rsidRPr="006C666A">
        <w:rPr>
          <w:color w:val="000000" w:themeColor="text1"/>
          <w:sz w:val="22"/>
          <w:szCs w:val="22"/>
        </w:rPr>
        <w:t xml:space="preserve">EUR.  </w:t>
      </w:r>
      <w:r w:rsidR="00893EDF" w:rsidRPr="006C666A">
        <w:rPr>
          <w:color w:val="000000" w:themeColor="text1"/>
          <w:sz w:val="22"/>
          <w:szCs w:val="22"/>
        </w:rPr>
        <w:t>Smanjenje na aktivnosti je sukladno dosadašnjoj realizaciji</w:t>
      </w:r>
      <w:r w:rsidRPr="006C666A">
        <w:rPr>
          <w:color w:val="000000" w:themeColor="text1"/>
          <w:sz w:val="22"/>
          <w:szCs w:val="22"/>
        </w:rPr>
        <w:t xml:space="preserve"> </w:t>
      </w:r>
      <w:r w:rsidR="006C666A" w:rsidRPr="006C666A">
        <w:rPr>
          <w:color w:val="000000" w:themeColor="text1"/>
          <w:sz w:val="22"/>
          <w:szCs w:val="22"/>
        </w:rPr>
        <w:t xml:space="preserve">te </w:t>
      </w:r>
      <w:r w:rsidR="006C666A">
        <w:rPr>
          <w:color w:val="000000" w:themeColor="text1"/>
          <w:sz w:val="22"/>
          <w:szCs w:val="22"/>
        </w:rPr>
        <w:t>procjeni plana</w:t>
      </w:r>
      <w:r w:rsidR="006C666A" w:rsidRPr="006C666A">
        <w:rPr>
          <w:color w:val="000000" w:themeColor="text1"/>
          <w:sz w:val="22"/>
          <w:szCs w:val="22"/>
        </w:rPr>
        <w:t xml:space="preserve"> do kraja 2024. godine.</w:t>
      </w:r>
    </w:p>
    <w:p w14:paraId="6F46F9B4" w14:textId="5A551D49" w:rsidR="006967E9" w:rsidRPr="006C666A" w:rsidRDefault="00787908" w:rsidP="00E36B98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color w:val="000000" w:themeColor="text1"/>
          <w:sz w:val="22"/>
          <w:szCs w:val="22"/>
        </w:rPr>
      </w:pPr>
      <w:r w:rsidRPr="006C666A">
        <w:rPr>
          <w:b/>
          <w:bCs/>
          <w:color w:val="000000" w:themeColor="text1"/>
          <w:sz w:val="22"/>
          <w:szCs w:val="22"/>
        </w:rPr>
        <w:t xml:space="preserve"> </w:t>
      </w:r>
      <w:r w:rsidR="002A2C3B" w:rsidRPr="006C666A">
        <w:rPr>
          <w:color w:val="000000" w:themeColor="text1"/>
          <w:sz w:val="22"/>
          <w:szCs w:val="22"/>
        </w:rPr>
        <w:t xml:space="preserve">U aktivnost je uvršten i manjak prihoda od nenadležnog proračuna za trošak parničnog postupka u iznosu od </w:t>
      </w:r>
      <w:r w:rsidRPr="006C666A">
        <w:rPr>
          <w:color w:val="000000" w:themeColor="text1"/>
          <w:sz w:val="22"/>
          <w:szCs w:val="22"/>
        </w:rPr>
        <w:t>521,44</w:t>
      </w:r>
      <w:r w:rsidR="002A2C3B" w:rsidRPr="006C666A">
        <w:rPr>
          <w:color w:val="000000" w:themeColor="text1"/>
          <w:sz w:val="22"/>
          <w:szCs w:val="22"/>
        </w:rPr>
        <w:t xml:space="preserve"> EUR.</w:t>
      </w:r>
    </w:p>
    <w:p w14:paraId="0E5168DE" w14:textId="77777777" w:rsidR="00E36B98" w:rsidRPr="00985D0A" w:rsidRDefault="00E36B98" w:rsidP="00E36B98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color w:val="FF0000"/>
          <w:sz w:val="22"/>
          <w:szCs w:val="22"/>
        </w:rPr>
      </w:pPr>
    </w:p>
    <w:p w14:paraId="11EAABD9" w14:textId="77777777" w:rsidR="009552C5" w:rsidRPr="00FF2CE2" w:rsidRDefault="009552C5" w:rsidP="008C7F3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F2CE2">
        <w:rPr>
          <w:rFonts w:ascii="Times New Roman" w:hAnsi="Times New Roman" w:cs="Times New Roman"/>
          <w:b/>
          <w:bCs/>
          <w:color w:val="000000" w:themeColor="text1"/>
        </w:rPr>
        <w:t>CILJEVI I POKAZATELJI USPJEŠNOSTI IZ AKATA STRATEŠKOG PLANIRANJA I GODIŠNJEG PLANA RADA</w:t>
      </w:r>
    </w:p>
    <w:p w14:paraId="27132221" w14:textId="44BE532E" w:rsidR="006967E9" w:rsidRPr="00FF2CE2" w:rsidRDefault="006967E9" w:rsidP="008C7F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F2CE2">
        <w:rPr>
          <w:rFonts w:ascii="Times New Roman" w:hAnsi="Times New Roman" w:cs="Times New Roman"/>
          <w:b/>
          <w:bCs/>
          <w:color w:val="000000" w:themeColor="text1"/>
        </w:rPr>
        <w:t xml:space="preserve">CILJ: </w:t>
      </w:r>
      <w:r w:rsidR="00D510BA" w:rsidRPr="00FF2CE2">
        <w:rPr>
          <w:rFonts w:ascii="Times New Roman" w:hAnsi="Times New Roman" w:cs="Times New Roman"/>
          <w:b/>
          <w:bCs/>
          <w:color w:val="000000" w:themeColor="text1"/>
        </w:rPr>
        <w:t>Isplata plaće i materijalnih prava svim djelatnicima</w:t>
      </w:r>
    </w:p>
    <w:p w14:paraId="0AE8A762" w14:textId="32661EAF" w:rsidR="008C7F3E" w:rsidRPr="00FF2CE2" w:rsidRDefault="00D510BA" w:rsidP="00F710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F2CE2">
        <w:rPr>
          <w:rFonts w:ascii="Times New Roman" w:hAnsi="Times New Roman" w:cs="Times New Roman"/>
          <w:color w:val="000000" w:themeColor="text1"/>
        </w:rPr>
        <w:t xml:space="preserve">Ovim ciljem se želi postići da svaki djelatnik primi </w:t>
      </w:r>
      <w:r w:rsidR="008C7F3E" w:rsidRPr="00FF2CE2">
        <w:rPr>
          <w:rFonts w:ascii="Times New Roman" w:hAnsi="Times New Roman" w:cs="Times New Roman"/>
          <w:color w:val="000000" w:themeColor="text1"/>
        </w:rPr>
        <w:t>redovito svoju mjesečnu plaću</w:t>
      </w:r>
      <w:r w:rsidRPr="00FF2CE2">
        <w:rPr>
          <w:rFonts w:ascii="Times New Roman" w:hAnsi="Times New Roman" w:cs="Times New Roman"/>
          <w:color w:val="000000" w:themeColor="text1"/>
        </w:rPr>
        <w:t xml:space="preserve"> i da mu se isplati svako materijalno pravo na koje ima pravo sukladno Kolektivnom ugovoru za </w:t>
      </w:r>
      <w:r w:rsidR="009552C5" w:rsidRPr="00FF2CE2">
        <w:rPr>
          <w:rFonts w:ascii="Times New Roman" w:hAnsi="Times New Roman" w:cs="Times New Roman"/>
          <w:color w:val="000000" w:themeColor="text1"/>
        </w:rPr>
        <w:t>zaposlenike u o</w:t>
      </w:r>
      <w:r w:rsidR="008C7F3E" w:rsidRPr="00FF2CE2">
        <w:rPr>
          <w:rFonts w:ascii="Times New Roman" w:hAnsi="Times New Roman" w:cs="Times New Roman"/>
          <w:color w:val="000000" w:themeColor="text1"/>
        </w:rPr>
        <w:t>s</w:t>
      </w:r>
      <w:r w:rsidR="009552C5" w:rsidRPr="00FF2CE2">
        <w:rPr>
          <w:rFonts w:ascii="Times New Roman" w:hAnsi="Times New Roman" w:cs="Times New Roman"/>
          <w:color w:val="000000" w:themeColor="text1"/>
        </w:rPr>
        <w:t>novnoškolskim ustanovama.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985D0A" w:rsidRPr="00FF2CE2" w14:paraId="3C13427E" w14:textId="77777777" w:rsidTr="004C1F77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0DE29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4D1794D9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B62D63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13F7FFAA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17E849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C3715F5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521EE3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6177BDDC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BB8121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3955B185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CE9AA5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Ciljana vrijednost</w:t>
            </w:r>
          </w:p>
          <w:p w14:paraId="760F7F42" w14:textId="77777777" w:rsidR="004C1F77" w:rsidRPr="00FF2CE2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FF2C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(2024.)</w:t>
            </w:r>
          </w:p>
        </w:tc>
      </w:tr>
      <w:tr w:rsidR="00985D0A" w:rsidRPr="00FF2CE2" w14:paraId="6948001A" w14:textId="77777777" w:rsidTr="004C1F77">
        <w:trPr>
          <w:trHeight w:val="115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27F" w14:textId="77777777" w:rsidR="004C1F77" w:rsidRPr="00FF2CE2" w:rsidRDefault="004C1F77" w:rsidP="008C7F3E">
            <w:pPr>
              <w:spacing w:line="240" w:lineRule="auto"/>
              <w:ind w:left="-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7137C4" w14:textId="71D3C3C4" w:rsidR="004C1F77" w:rsidRPr="00FF2CE2" w:rsidRDefault="004C1F77" w:rsidP="008C7F3E">
            <w:pPr>
              <w:spacing w:line="240" w:lineRule="auto"/>
              <w:ind w:left="-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Isplata plaće i materijalnih prava svim zaposlenicima škole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281" w14:textId="675A3C58" w:rsidR="004C1F77" w:rsidRPr="00FF2CE2" w:rsidRDefault="004C1F77" w:rsidP="008C7F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Voditi ispravnu evidenciju svakog zaposlenika kako bi primio plaću koja mu pripada i u roku koji je predviđen uputama za isplatu plaće kao i sva materijalna prava koja mu pripadaju prema Kolektivnom ugovoru.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9AA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55EF30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DA016F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B94EF3" w14:textId="30DB7E4F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114" w14:textId="77777777" w:rsidR="004C1F77" w:rsidRPr="00FF2CE2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CE8DF5" w14:textId="77777777" w:rsidR="004C1F77" w:rsidRPr="00FF2CE2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3F69E9" w14:textId="77777777" w:rsidR="004C1F77" w:rsidRPr="00FF2CE2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E9EB22" w14:textId="487FC17E" w:rsidR="004C1F77" w:rsidRPr="00FF2CE2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578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860652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F3FF52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AD6DCD" w14:textId="682ED025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CC1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A971C5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04E08A" w14:textId="77777777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7E5B40" w14:textId="6CCD513E" w:rsidR="004C1F77" w:rsidRPr="00FF2CE2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6D58DA61" w14:textId="77777777" w:rsidR="004C1F77" w:rsidRPr="00FF2CE2" w:rsidRDefault="004C1F77" w:rsidP="009552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highlight w:val="yellow"/>
          <w:bdr w:val="none" w:sz="0" w:space="0" w:color="auto" w:frame="1"/>
          <w:lang w:eastAsia="hr-HR"/>
        </w:rPr>
      </w:pPr>
    </w:p>
    <w:p w14:paraId="40F5BD13" w14:textId="4933D1D8" w:rsidR="00427513" w:rsidRPr="00017008" w:rsidRDefault="00427513" w:rsidP="00427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17008">
        <w:rPr>
          <w:rFonts w:ascii="Times New Roman" w:eastAsia="Times New Roman" w:hAnsi="Times New Roman" w:cs="Times New Roman"/>
          <w:lang w:eastAsia="hr-HR"/>
        </w:rPr>
        <w:t>KLASA:</w:t>
      </w:r>
      <w:r w:rsidR="002D4645" w:rsidRPr="00017008">
        <w:rPr>
          <w:rFonts w:ascii="Times New Roman" w:eastAsia="Times New Roman" w:hAnsi="Times New Roman" w:cs="Times New Roman"/>
          <w:lang w:eastAsia="hr-HR"/>
        </w:rPr>
        <w:t>400-02/24-01/3</w:t>
      </w:r>
      <w:r w:rsidRPr="00017008">
        <w:rPr>
          <w:rFonts w:ascii="Times New Roman" w:eastAsia="Times New Roman" w:hAnsi="Times New Roman" w:cs="Times New Roman"/>
          <w:lang w:eastAsia="hr-HR"/>
        </w:rPr>
        <w:t> </w:t>
      </w:r>
    </w:p>
    <w:p w14:paraId="2E636B54" w14:textId="56C83E54" w:rsidR="00427513" w:rsidRPr="00017008" w:rsidRDefault="00427513" w:rsidP="00427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17008">
        <w:rPr>
          <w:rFonts w:ascii="Times New Roman" w:eastAsia="Times New Roman" w:hAnsi="Times New Roman" w:cs="Times New Roman"/>
          <w:lang w:eastAsia="hr-HR"/>
        </w:rPr>
        <w:t>URBROJ:</w:t>
      </w:r>
      <w:r w:rsidR="002D4645" w:rsidRPr="00017008">
        <w:rPr>
          <w:rFonts w:ascii="Times New Roman" w:eastAsia="Times New Roman" w:hAnsi="Times New Roman" w:cs="Times New Roman"/>
          <w:lang w:eastAsia="hr-HR"/>
        </w:rPr>
        <w:t>2137-30-24-</w:t>
      </w:r>
      <w:r w:rsidR="00017008" w:rsidRPr="00017008">
        <w:rPr>
          <w:rFonts w:ascii="Times New Roman" w:eastAsia="Times New Roman" w:hAnsi="Times New Roman" w:cs="Times New Roman"/>
          <w:lang w:eastAsia="hr-HR"/>
        </w:rPr>
        <w:t>5</w:t>
      </w:r>
    </w:p>
    <w:p w14:paraId="45178615" w14:textId="24C0D2D9" w:rsidR="00634C2A" w:rsidRPr="002D4645" w:rsidRDefault="00634C2A" w:rsidP="00634C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17008">
        <w:rPr>
          <w:rFonts w:ascii="Times New Roman" w:eastAsia="Times New Roman" w:hAnsi="Times New Roman" w:cs="Times New Roman"/>
          <w:lang w:eastAsia="hr-HR"/>
        </w:rPr>
        <w:t xml:space="preserve">Koprivnica, </w:t>
      </w:r>
      <w:r w:rsidR="00496C10" w:rsidRPr="00017008">
        <w:rPr>
          <w:rFonts w:ascii="Times New Roman" w:eastAsia="Times New Roman" w:hAnsi="Times New Roman" w:cs="Times New Roman"/>
          <w:lang w:eastAsia="hr-HR"/>
        </w:rPr>
        <w:t>19.12.2024.</w:t>
      </w:r>
    </w:p>
    <w:p w14:paraId="6D5E7752" w14:textId="77777777" w:rsidR="00C77F1D" w:rsidRPr="00985D0A" w:rsidRDefault="00C77F1D" w:rsidP="00634C2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97ECB9F" w14:textId="4E7F19E6" w:rsidR="00FE7828" w:rsidRPr="00F90DD8" w:rsidRDefault="00664D4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OBRAZLOŽENJE IZRADILA:</w:t>
      </w:r>
      <w:r w:rsidRPr="00F90DD8">
        <w:rPr>
          <w:rFonts w:ascii="Times New Roman" w:eastAsia="Times New Roman" w:hAnsi="Times New Roman" w:cs="Times New Roman"/>
          <w:lang w:eastAsia="hr-HR"/>
        </w:rPr>
        <w:tab/>
      </w:r>
      <w:r w:rsidRPr="00F90DD8">
        <w:rPr>
          <w:rFonts w:ascii="Times New Roman" w:eastAsia="Times New Roman" w:hAnsi="Times New Roman" w:cs="Times New Roman"/>
          <w:lang w:eastAsia="hr-HR"/>
        </w:rPr>
        <w:tab/>
      </w:r>
      <w:r w:rsidRPr="00F90DD8">
        <w:rPr>
          <w:rFonts w:ascii="Times New Roman" w:eastAsia="Times New Roman" w:hAnsi="Times New Roman" w:cs="Times New Roman"/>
          <w:lang w:eastAsia="hr-HR"/>
        </w:rPr>
        <w:tab/>
      </w:r>
      <w:r w:rsidRPr="00F90DD8">
        <w:rPr>
          <w:rFonts w:ascii="Times New Roman" w:eastAsia="Times New Roman" w:hAnsi="Times New Roman" w:cs="Times New Roman"/>
          <w:lang w:eastAsia="hr-HR"/>
        </w:rPr>
        <w:tab/>
      </w:r>
      <w:r w:rsidR="006E2630">
        <w:rPr>
          <w:rFonts w:ascii="Times New Roman" w:eastAsia="Times New Roman" w:hAnsi="Times New Roman" w:cs="Times New Roman"/>
          <w:lang w:eastAsia="hr-HR"/>
        </w:rPr>
        <w:t xml:space="preserve">     </w:t>
      </w:r>
      <w:r w:rsidRPr="00F90DD8">
        <w:rPr>
          <w:rFonts w:ascii="Times New Roman" w:eastAsia="Times New Roman" w:hAnsi="Times New Roman" w:cs="Times New Roman"/>
          <w:lang w:eastAsia="hr-HR"/>
        </w:rPr>
        <w:t>RAVNATELJ ŠKOLE:</w:t>
      </w:r>
      <w:r w:rsidR="00FE7828" w:rsidRPr="00F90DD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</w:t>
      </w:r>
      <w:r w:rsidR="00090BC6" w:rsidRPr="00F90DD8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40568D92" w14:textId="368D0520" w:rsidR="00FE7828" w:rsidRPr="00F90DD8" w:rsidRDefault="00664D4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VODITELJICA RAČUNOVODSTVA</w:t>
      </w:r>
      <w:r w:rsidR="00FE7828" w:rsidRPr="00F90DD8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="00465484" w:rsidRPr="00F90DD8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="006E2630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465484" w:rsidRPr="00F90DD8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E7828" w:rsidRPr="00F90DD8">
        <w:rPr>
          <w:rFonts w:ascii="Times New Roman" w:eastAsia="Times New Roman" w:hAnsi="Times New Roman" w:cs="Times New Roman"/>
          <w:lang w:eastAsia="hr-HR"/>
        </w:rPr>
        <w:t xml:space="preserve">Krešo </w:t>
      </w:r>
      <w:proofErr w:type="spellStart"/>
      <w:r w:rsidR="00FE7828" w:rsidRPr="00F90DD8">
        <w:rPr>
          <w:rFonts w:ascii="Times New Roman" w:eastAsia="Times New Roman" w:hAnsi="Times New Roman" w:cs="Times New Roman"/>
          <w:lang w:eastAsia="hr-HR"/>
        </w:rPr>
        <w:t>Grgac</w:t>
      </w:r>
      <w:proofErr w:type="spellEnd"/>
      <w:r w:rsidR="00FE7828" w:rsidRPr="00F90DD8">
        <w:rPr>
          <w:rFonts w:ascii="Times New Roman" w:eastAsia="Times New Roman" w:hAnsi="Times New Roman" w:cs="Times New Roman"/>
          <w:lang w:eastAsia="hr-HR"/>
        </w:rPr>
        <w:t>, prof.</w:t>
      </w:r>
    </w:p>
    <w:p w14:paraId="1E0EC256" w14:textId="114A91E6" w:rsidR="00F53558" w:rsidRPr="00F90DD8" w:rsidRDefault="00F53558" w:rsidP="00F535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Andreja Eršetić</w:t>
      </w:r>
    </w:p>
    <w:p w14:paraId="778A7A78" w14:textId="0B1FE462" w:rsidR="00F53558" w:rsidRPr="00F90DD8" w:rsidRDefault="00F53558" w:rsidP="00FE782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1894430" w14:textId="77777777" w:rsidR="00B53623" w:rsidRPr="00F90DD8" w:rsidRDefault="00B53623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95C678" w14:textId="22C96524" w:rsidR="00327B11" w:rsidRPr="00F90DD8" w:rsidRDefault="006E2630" w:rsidP="006E2630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664D4B" w:rsidRPr="00F90DD8">
        <w:rPr>
          <w:rFonts w:ascii="Times New Roman" w:eastAsia="Times New Roman" w:hAnsi="Times New Roman" w:cs="Times New Roman"/>
          <w:lang w:eastAsia="hr-HR"/>
        </w:rPr>
        <w:t>PREDSJEDNIK ŠKOLSKOG ODBORA:</w:t>
      </w:r>
    </w:p>
    <w:p w14:paraId="1EB28E1E" w14:textId="18F35714" w:rsidR="00664D4B" w:rsidRPr="00F90DD8" w:rsidRDefault="006E2630" w:rsidP="00327B1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="00664D4B" w:rsidRPr="00F90DD8">
        <w:rPr>
          <w:rFonts w:ascii="Times New Roman" w:eastAsia="Times New Roman" w:hAnsi="Times New Roman" w:cs="Times New Roman"/>
          <w:lang w:eastAsia="hr-HR"/>
        </w:rPr>
        <w:t xml:space="preserve">Josip </w:t>
      </w:r>
      <w:proofErr w:type="spellStart"/>
      <w:r w:rsidR="00664D4B" w:rsidRPr="00F90DD8">
        <w:rPr>
          <w:rFonts w:ascii="Times New Roman" w:eastAsia="Times New Roman" w:hAnsi="Times New Roman" w:cs="Times New Roman"/>
          <w:lang w:eastAsia="hr-HR"/>
        </w:rPr>
        <w:t>Pankarić</w:t>
      </w:r>
      <w:proofErr w:type="spellEnd"/>
      <w:r w:rsidR="00664D4B" w:rsidRPr="00F90DD8">
        <w:rPr>
          <w:rFonts w:ascii="Times New Roman" w:eastAsia="Times New Roman" w:hAnsi="Times New Roman" w:cs="Times New Roman"/>
          <w:lang w:eastAsia="hr-HR"/>
        </w:rPr>
        <w:t>, prof.</w:t>
      </w:r>
    </w:p>
    <w:sectPr w:rsidR="00664D4B" w:rsidRPr="00F90DD8" w:rsidSect="00393B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7B7EA" w14:textId="77777777" w:rsidR="002F28C6" w:rsidRDefault="002F28C6">
      <w:pPr>
        <w:spacing w:after="0" w:line="240" w:lineRule="auto"/>
      </w:pPr>
      <w:r>
        <w:separator/>
      </w:r>
    </w:p>
  </w:endnote>
  <w:endnote w:type="continuationSeparator" w:id="0">
    <w:p w14:paraId="126C82CB" w14:textId="77777777" w:rsidR="002F28C6" w:rsidRDefault="002F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F34E" w14:textId="77777777" w:rsidR="00D30748" w:rsidRDefault="00D3074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7F55" w14:textId="77777777" w:rsidR="00D30748" w:rsidRDefault="00D3074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408FA902" w14:textId="77777777" w:rsidR="00D30748" w:rsidRDefault="00D3074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5AA2" w14:textId="77777777" w:rsidR="00D30748" w:rsidRDefault="00D307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97EF" w14:textId="77777777" w:rsidR="002F28C6" w:rsidRDefault="002F28C6">
      <w:pPr>
        <w:spacing w:after="0" w:line="240" w:lineRule="auto"/>
      </w:pPr>
      <w:r>
        <w:separator/>
      </w:r>
    </w:p>
  </w:footnote>
  <w:footnote w:type="continuationSeparator" w:id="0">
    <w:p w14:paraId="743FACED" w14:textId="77777777" w:rsidR="002F28C6" w:rsidRDefault="002F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4F1C" w14:textId="77777777" w:rsidR="00D30748" w:rsidRDefault="00D3074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ADF7" w14:textId="77777777" w:rsidR="00D30748" w:rsidRDefault="00D30748" w:rsidP="00D55480">
    <w:pPr>
      <w:pStyle w:val="Zaglavlje"/>
    </w:pPr>
  </w:p>
  <w:p w14:paraId="5BFFE27A" w14:textId="77777777" w:rsidR="00D30748" w:rsidRPr="00D55480" w:rsidRDefault="00D30748" w:rsidP="00D5548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F8BA" w14:textId="77777777" w:rsidR="00D30748" w:rsidRDefault="00D3074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3"/>
      </v:shape>
    </w:pict>
  </w:numPicBullet>
  <w:abstractNum w:abstractNumId="0" w15:restartNumberingAfterBreak="0">
    <w:nsid w:val="009E6CAC"/>
    <w:multiLevelType w:val="hybridMultilevel"/>
    <w:tmpl w:val="90F8014C"/>
    <w:lvl w:ilvl="0" w:tplc="041A000B">
      <w:start w:val="1"/>
      <w:numFmt w:val="bullet"/>
      <w:lvlText w:val=""/>
      <w:lvlJc w:val="left"/>
      <w:pPr>
        <w:ind w:left="92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9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975" w:hanging="360"/>
      </w:pPr>
      <w:rPr>
        <w:rFonts w:ascii="Wingdings" w:hAnsi="Wingdings" w:hint="default"/>
      </w:rPr>
    </w:lvl>
  </w:abstractNum>
  <w:abstractNum w:abstractNumId="1" w15:restartNumberingAfterBreak="0">
    <w:nsid w:val="07DC32E1"/>
    <w:multiLevelType w:val="hybridMultilevel"/>
    <w:tmpl w:val="1EC60B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2B09"/>
    <w:multiLevelType w:val="multilevel"/>
    <w:tmpl w:val="6F5A66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6774A"/>
    <w:multiLevelType w:val="hybridMultilevel"/>
    <w:tmpl w:val="9872EDCE"/>
    <w:lvl w:ilvl="0" w:tplc="778802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04144"/>
    <w:multiLevelType w:val="hybridMultilevel"/>
    <w:tmpl w:val="2CEA9CFC"/>
    <w:lvl w:ilvl="0" w:tplc="F7A29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2468"/>
    <w:multiLevelType w:val="hybridMultilevel"/>
    <w:tmpl w:val="4014A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247"/>
    <w:multiLevelType w:val="hybridMultilevel"/>
    <w:tmpl w:val="41A27A56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D3414D"/>
    <w:multiLevelType w:val="hybridMultilevel"/>
    <w:tmpl w:val="26B66F06"/>
    <w:lvl w:ilvl="0" w:tplc="4A503D8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AA350F"/>
    <w:multiLevelType w:val="hybridMultilevel"/>
    <w:tmpl w:val="72EE82FA"/>
    <w:lvl w:ilvl="0" w:tplc="29D415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902"/>
    <w:multiLevelType w:val="multilevel"/>
    <w:tmpl w:val="1C3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B0E7D"/>
    <w:multiLevelType w:val="hybridMultilevel"/>
    <w:tmpl w:val="DA767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7C8E"/>
    <w:multiLevelType w:val="hybridMultilevel"/>
    <w:tmpl w:val="389291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C30D5"/>
    <w:multiLevelType w:val="hybridMultilevel"/>
    <w:tmpl w:val="4D64446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41A2"/>
    <w:multiLevelType w:val="hybridMultilevel"/>
    <w:tmpl w:val="71BE0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D45FA"/>
    <w:multiLevelType w:val="hybridMultilevel"/>
    <w:tmpl w:val="453A30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1701"/>
    <w:multiLevelType w:val="hybridMultilevel"/>
    <w:tmpl w:val="830E43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4C4E"/>
    <w:multiLevelType w:val="hybridMultilevel"/>
    <w:tmpl w:val="DCD0C23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6326D"/>
    <w:multiLevelType w:val="hybridMultilevel"/>
    <w:tmpl w:val="4014D51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B441F"/>
    <w:multiLevelType w:val="hybridMultilevel"/>
    <w:tmpl w:val="23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90AF2"/>
    <w:multiLevelType w:val="hybridMultilevel"/>
    <w:tmpl w:val="D8F61508"/>
    <w:lvl w:ilvl="0" w:tplc="0532B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A4AC4"/>
    <w:multiLevelType w:val="hybridMultilevel"/>
    <w:tmpl w:val="0260893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B0674B"/>
    <w:multiLevelType w:val="hybridMultilevel"/>
    <w:tmpl w:val="2CDC53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60EB"/>
    <w:multiLevelType w:val="hybridMultilevel"/>
    <w:tmpl w:val="E3CA7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41BB2"/>
    <w:multiLevelType w:val="hybridMultilevel"/>
    <w:tmpl w:val="69462852"/>
    <w:lvl w:ilvl="0" w:tplc="FA3C7C3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3D9C"/>
    <w:multiLevelType w:val="multilevel"/>
    <w:tmpl w:val="B1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47EC1"/>
    <w:multiLevelType w:val="hybridMultilevel"/>
    <w:tmpl w:val="09DEFCD4"/>
    <w:lvl w:ilvl="0" w:tplc="CB286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E3E6B"/>
    <w:multiLevelType w:val="hybridMultilevel"/>
    <w:tmpl w:val="BC98968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85F34"/>
    <w:multiLevelType w:val="hybridMultilevel"/>
    <w:tmpl w:val="E8102DAE"/>
    <w:lvl w:ilvl="0" w:tplc="6428AC14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D23B5"/>
    <w:multiLevelType w:val="hybridMultilevel"/>
    <w:tmpl w:val="01AEC9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43D2C"/>
    <w:multiLevelType w:val="hybridMultilevel"/>
    <w:tmpl w:val="121C1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21"/>
  </w:num>
  <w:num w:numId="5">
    <w:abstractNumId w:val="8"/>
  </w:num>
  <w:num w:numId="6">
    <w:abstractNumId w:val="0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1"/>
  </w:num>
  <w:num w:numId="17">
    <w:abstractNumId w:val="9"/>
  </w:num>
  <w:num w:numId="18">
    <w:abstractNumId w:val="23"/>
  </w:num>
  <w:num w:numId="19">
    <w:abstractNumId w:val="29"/>
  </w:num>
  <w:num w:numId="20">
    <w:abstractNumId w:val="18"/>
  </w:num>
  <w:num w:numId="21">
    <w:abstractNumId w:val="16"/>
  </w:num>
  <w:num w:numId="22">
    <w:abstractNumId w:val="24"/>
  </w:num>
  <w:num w:numId="23">
    <w:abstractNumId w:val="22"/>
  </w:num>
  <w:num w:numId="24">
    <w:abstractNumId w:val="27"/>
  </w:num>
  <w:num w:numId="25">
    <w:abstractNumId w:val="28"/>
  </w:num>
  <w:num w:numId="26">
    <w:abstractNumId w:val="13"/>
  </w:num>
  <w:num w:numId="27">
    <w:abstractNumId w:val="10"/>
  </w:num>
  <w:num w:numId="28">
    <w:abstractNumId w:val="20"/>
  </w:num>
  <w:num w:numId="29">
    <w:abstractNumId w:val="3"/>
  </w:num>
  <w:num w:numId="30">
    <w:abstractNumId w:val="17"/>
  </w:num>
  <w:num w:numId="31">
    <w:abstractNumId w:val="19"/>
  </w:num>
  <w:num w:numId="32">
    <w:abstractNumId w:val="25"/>
  </w:num>
  <w:num w:numId="33">
    <w:abstractNumId w:val="5"/>
  </w:num>
  <w:num w:numId="3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28"/>
    <w:rsid w:val="000002C3"/>
    <w:rsid w:val="00002095"/>
    <w:rsid w:val="00004B00"/>
    <w:rsid w:val="00004D85"/>
    <w:rsid w:val="00005149"/>
    <w:rsid w:val="000067BC"/>
    <w:rsid w:val="00010357"/>
    <w:rsid w:val="000111C6"/>
    <w:rsid w:val="00012DE0"/>
    <w:rsid w:val="0001421B"/>
    <w:rsid w:val="00014542"/>
    <w:rsid w:val="00014B02"/>
    <w:rsid w:val="00014BFD"/>
    <w:rsid w:val="00014D7D"/>
    <w:rsid w:val="000152CD"/>
    <w:rsid w:val="000160E1"/>
    <w:rsid w:val="00017008"/>
    <w:rsid w:val="00023124"/>
    <w:rsid w:val="000261DB"/>
    <w:rsid w:val="00026FD7"/>
    <w:rsid w:val="00034FA0"/>
    <w:rsid w:val="000356A7"/>
    <w:rsid w:val="000370F2"/>
    <w:rsid w:val="000402FE"/>
    <w:rsid w:val="00040876"/>
    <w:rsid w:val="000443C6"/>
    <w:rsid w:val="000447B2"/>
    <w:rsid w:val="00044B8F"/>
    <w:rsid w:val="00044E56"/>
    <w:rsid w:val="00044FB3"/>
    <w:rsid w:val="00051287"/>
    <w:rsid w:val="00052C9D"/>
    <w:rsid w:val="00054512"/>
    <w:rsid w:val="0005610F"/>
    <w:rsid w:val="00060395"/>
    <w:rsid w:val="000617E3"/>
    <w:rsid w:val="0006186C"/>
    <w:rsid w:val="00065AC5"/>
    <w:rsid w:val="0006635C"/>
    <w:rsid w:val="000735A0"/>
    <w:rsid w:val="00074D37"/>
    <w:rsid w:val="00074E4E"/>
    <w:rsid w:val="00075FD3"/>
    <w:rsid w:val="000774B1"/>
    <w:rsid w:val="00081D0C"/>
    <w:rsid w:val="00086CBE"/>
    <w:rsid w:val="00090BC6"/>
    <w:rsid w:val="00092348"/>
    <w:rsid w:val="00093EA7"/>
    <w:rsid w:val="00094E60"/>
    <w:rsid w:val="00096E7A"/>
    <w:rsid w:val="000A1A95"/>
    <w:rsid w:val="000A44AD"/>
    <w:rsid w:val="000A4748"/>
    <w:rsid w:val="000B1585"/>
    <w:rsid w:val="000B25FA"/>
    <w:rsid w:val="000B38CD"/>
    <w:rsid w:val="000B40C1"/>
    <w:rsid w:val="000B6CB4"/>
    <w:rsid w:val="000B7FD3"/>
    <w:rsid w:val="000C03EE"/>
    <w:rsid w:val="000C0E97"/>
    <w:rsid w:val="000C4F0E"/>
    <w:rsid w:val="000C7ABC"/>
    <w:rsid w:val="000C7FB0"/>
    <w:rsid w:val="000D49EC"/>
    <w:rsid w:val="000D6FB4"/>
    <w:rsid w:val="000E03BC"/>
    <w:rsid w:val="000E27E8"/>
    <w:rsid w:val="000E7C38"/>
    <w:rsid w:val="000E7F65"/>
    <w:rsid w:val="000F0099"/>
    <w:rsid w:val="000F1555"/>
    <w:rsid w:val="000F4300"/>
    <w:rsid w:val="00100D48"/>
    <w:rsid w:val="001015FD"/>
    <w:rsid w:val="00107311"/>
    <w:rsid w:val="00114BAA"/>
    <w:rsid w:val="00115AB3"/>
    <w:rsid w:val="00117611"/>
    <w:rsid w:val="001177CE"/>
    <w:rsid w:val="00121E6F"/>
    <w:rsid w:val="001224E8"/>
    <w:rsid w:val="001310EA"/>
    <w:rsid w:val="00131366"/>
    <w:rsid w:val="00131768"/>
    <w:rsid w:val="001328BD"/>
    <w:rsid w:val="00134690"/>
    <w:rsid w:val="001365AD"/>
    <w:rsid w:val="00136756"/>
    <w:rsid w:val="00140E54"/>
    <w:rsid w:val="00141104"/>
    <w:rsid w:val="001440AB"/>
    <w:rsid w:val="00144E5D"/>
    <w:rsid w:val="00146744"/>
    <w:rsid w:val="001468F2"/>
    <w:rsid w:val="001475FF"/>
    <w:rsid w:val="00147CD6"/>
    <w:rsid w:val="001549BE"/>
    <w:rsid w:val="001603AD"/>
    <w:rsid w:val="001603D3"/>
    <w:rsid w:val="00160516"/>
    <w:rsid w:val="00160835"/>
    <w:rsid w:val="00164A9A"/>
    <w:rsid w:val="00165DCC"/>
    <w:rsid w:val="0017076E"/>
    <w:rsid w:val="00172432"/>
    <w:rsid w:val="00172B07"/>
    <w:rsid w:val="00172CCA"/>
    <w:rsid w:val="00175271"/>
    <w:rsid w:val="001766F6"/>
    <w:rsid w:val="00177C28"/>
    <w:rsid w:val="001815E8"/>
    <w:rsid w:val="00182341"/>
    <w:rsid w:val="00187CF9"/>
    <w:rsid w:val="00191FD0"/>
    <w:rsid w:val="001951D1"/>
    <w:rsid w:val="001978A4"/>
    <w:rsid w:val="001A09F0"/>
    <w:rsid w:val="001A0E32"/>
    <w:rsid w:val="001A3824"/>
    <w:rsid w:val="001A5B2C"/>
    <w:rsid w:val="001A603A"/>
    <w:rsid w:val="001A62C5"/>
    <w:rsid w:val="001B0210"/>
    <w:rsid w:val="001B08CD"/>
    <w:rsid w:val="001B1258"/>
    <w:rsid w:val="001B2EA3"/>
    <w:rsid w:val="001C1356"/>
    <w:rsid w:val="001C31FF"/>
    <w:rsid w:val="001C7884"/>
    <w:rsid w:val="001C79FC"/>
    <w:rsid w:val="001D0DB4"/>
    <w:rsid w:val="001D3CF5"/>
    <w:rsid w:val="001D3F54"/>
    <w:rsid w:val="001D4E2F"/>
    <w:rsid w:val="001D6958"/>
    <w:rsid w:val="001E10EF"/>
    <w:rsid w:val="001E2123"/>
    <w:rsid w:val="001E21A0"/>
    <w:rsid w:val="001E3006"/>
    <w:rsid w:val="001E36EE"/>
    <w:rsid w:val="001E4261"/>
    <w:rsid w:val="001E5370"/>
    <w:rsid w:val="001F1F7D"/>
    <w:rsid w:val="001F2EF5"/>
    <w:rsid w:val="001F365F"/>
    <w:rsid w:val="001F3DED"/>
    <w:rsid w:val="001F4AE0"/>
    <w:rsid w:val="001F519A"/>
    <w:rsid w:val="001F7D76"/>
    <w:rsid w:val="00202757"/>
    <w:rsid w:val="002049FB"/>
    <w:rsid w:val="00205206"/>
    <w:rsid w:val="00207FE3"/>
    <w:rsid w:val="00210392"/>
    <w:rsid w:val="00210791"/>
    <w:rsid w:val="002124F6"/>
    <w:rsid w:val="00212974"/>
    <w:rsid w:val="00213B50"/>
    <w:rsid w:val="00214F86"/>
    <w:rsid w:val="00215278"/>
    <w:rsid w:val="002204BF"/>
    <w:rsid w:val="00223A85"/>
    <w:rsid w:val="002240A0"/>
    <w:rsid w:val="00230263"/>
    <w:rsid w:val="00230ADB"/>
    <w:rsid w:val="0023376F"/>
    <w:rsid w:val="0023575C"/>
    <w:rsid w:val="00235E43"/>
    <w:rsid w:val="00236DD1"/>
    <w:rsid w:val="00236EFE"/>
    <w:rsid w:val="00240DD2"/>
    <w:rsid w:val="0024177A"/>
    <w:rsid w:val="00242298"/>
    <w:rsid w:val="002508AA"/>
    <w:rsid w:val="0025101B"/>
    <w:rsid w:val="00251B3D"/>
    <w:rsid w:val="002576FA"/>
    <w:rsid w:val="00257760"/>
    <w:rsid w:val="00261957"/>
    <w:rsid w:val="00264E87"/>
    <w:rsid w:val="00270901"/>
    <w:rsid w:val="00273692"/>
    <w:rsid w:val="002746A2"/>
    <w:rsid w:val="00274D9C"/>
    <w:rsid w:val="0028069F"/>
    <w:rsid w:val="00282528"/>
    <w:rsid w:val="002832D4"/>
    <w:rsid w:val="00284116"/>
    <w:rsid w:val="00287BA2"/>
    <w:rsid w:val="00294B5F"/>
    <w:rsid w:val="0029778A"/>
    <w:rsid w:val="002A046E"/>
    <w:rsid w:val="002A2C3B"/>
    <w:rsid w:val="002B44BF"/>
    <w:rsid w:val="002B55B2"/>
    <w:rsid w:val="002B6CD5"/>
    <w:rsid w:val="002B71F1"/>
    <w:rsid w:val="002C17ED"/>
    <w:rsid w:val="002C2881"/>
    <w:rsid w:val="002C30A0"/>
    <w:rsid w:val="002C4DEC"/>
    <w:rsid w:val="002D0031"/>
    <w:rsid w:val="002D0433"/>
    <w:rsid w:val="002D11B9"/>
    <w:rsid w:val="002D2C35"/>
    <w:rsid w:val="002D4645"/>
    <w:rsid w:val="002E09C5"/>
    <w:rsid w:val="002E0CEA"/>
    <w:rsid w:val="002E1605"/>
    <w:rsid w:val="002E1DF3"/>
    <w:rsid w:val="002E1E7C"/>
    <w:rsid w:val="002E2A70"/>
    <w:rsid w:val="002E3116"/>
    <w:rsid w:val="002E31FC"/>
    <w:rsid w:val="002E4C09"/>
    <w:rsid w:val="002E4EA2"/>
    <w:rsid w:val="002E6DCC"/>
    <w:rsid w:val="002E7C5F"/>
    <w:rsid w:val="002F28C6"/>
    <w:rsid w:val="002F2C70"/>
    <w:rsid w:val="002F5BB8"/>
    <w:rsid w:val="00302476"/>
    <w:rsid w:val="00312C30"/>
    <w:rsid w:val="00315EE9"/>
    <w:rsid w:val="0032073E"/>
    <w:rsid w:val="00320B1E"/>
    <w:rsid w:val="00321521"/>
    <w:rsid w:val="00321EAC"/>
    <w:rsid w:val="00322235"/>
    <w:rsid w:val="0032223B"/>
    <w:rsid w:val="00323098"/>
    <w:rsid w:val="00324F36"/>
    <w:rsid w:val="00327B11"/>
    <w:rsid w:val="003332CC"/>
    <w:rsid w:val="00333D17"/>
    <w:rsid w:val="00334ADA"/>
    <w:rsid w:val="003357F4"/>
    <w:rsid w:val="00335B72"/>
    <w:rsid w:val="00340CF3"/>
    <w:rsid w:val="00340D9E"/>
    <w:rsid w:val="003424CF"/>
    <w:rsid w:val="00342507"/>
    <w:rsid w:val="003433B5"/>
    <w:rsid w:val="003447E4"/>
    <w:rsid w:val="00344D83"/>
    <w:rsid w:val="0034520B"/>
    <w:rsid w:val="00346855"/>
    <w:rsid w:val="00347A18"/>
    <w:rsid w:val="00350265"/>
    <w:rsid w:val="00356DBC"/>
    <w:rsid w:val="0035778B"/>
    <w:rsid w:val="003612BF"/>
    <w:rsid w:val="00367C5F"/>
    <w:rsid w:val="003707DF"/>
    <w:rsid w:val="00374D3B"/>
    <w:rsid w:val="00374F2C"/>
    <w:rsid w:val="00375DDF"/>
    <w:rsid w:val="0037618E"/>
    <w:rsid w:val="00376248"/>
    <w:rsid w:val="00376DDC"/>
    <w:rsid w:val="00381749"/>
    <w:rsid w:val="00382DA5"/>
    <w:rsid w:val="00383DB9"/>
    <w:rsid w:val="003845C1"/>
    <w:rsid w:val="00384C5C"/>
    <w:rsid w:val="003866FE"/>
    <w:rsid w:val="00387B12"/>
    <w:rsid w:val="00393B4A"/>
    <w:rsid w:val="00394F36"/>
    <w:rsid w:val="0039747E"/>
    <w:rsid w:val="003A449B"/>
    <w:rsid w:val="003A5C52"/>
    <w:rsid w:val="003A62FC"/>
    <w:rsid w:val="003A741E"/>
    <w:rsid w:val="003A7CD6"/>
    <w:rsid w:val="003B0E33"/>
    <w:rsid w:val="003B2FD2"/>
    <w:rsid w:val="003B7FB8"/>
    <w:rsid w:val="003C4A88"/>
    <w:rsid w:val="003C6D71"/>
    <w:rsid w:val="003C7D7B"/>
    <w:rsid w:val="003D012D"/>
    <w:rsid w:val="003D2418"/>
    <w:rsid w:val="003D3766"/>
    <w:rsid w:val="003D632D"/>
    <w:rsid w:val="003D7405"/>
    <w:rsid w:val="003D75D0"/>
    <w:rsid w:val="003E052D"/>
    <w:rsid w:val="003E245F"/>
    <w:rsid w:val="003E2727"/>
    <w:rsid w:val="003E27E7"/>
    <w:rsid w:val="003E351F"/>
    <w:rsid w:val="003E3CFF"/>
    <w:rsid w:val="003E716D"/>
    <w:rsid w:val="003F130E"/>
    <w:rsid w:val="003F1573"/>
    <w:rsid w:val="003F6442"/>
    <w:rsid w:val="0040396A"/>
    <w:rsid w:val="004066BC"/>
    <w:rsid w:val="004100F9"/>
    <w:rsid w:val="00410407"/>
    <w:rsid w:val="004107D8"/>
    <w:rsid w:val="004115E6"/>
    <w:rsid w:val="00412209"/>
    <w:rsid w:val="00415C79"/>
    <w:rsid w:val="00416AB9"/>
    <w:rsid w:val="004226A9"/>
    <w:rsid w:val="00423671"/>
    <w:rsid w:val="00424207"/>
    <w:rsid w:val="00427513"/>
    <w:rsid w:val="0043001D"/>
    <w:rsid w:val="004305C0"/>
    <w:rsid w:val="00431240"/>
    <w:rsid w:val="00431AED"/>
    <w:rsid w:val="00432747"/>
    <w:rsid w:val="004346FD"/>
    <w:rsid w:val="00441221"/>
    <w:rsid w:val="00451988"/>
    <w:rsid w:val="00454568"/>
    <w:rsid w:val="004546D5"/>
    <w:rsid w:val="00455985"/>
    <w:rsid w:val="00455C4A"/>
    <w:rsid w:val="00456094"/>
    <w:rsid w:val="00457C9D"/>
    <w:rsid w:val="00462175"/>
    <w:rsid w:val="00463397"/>
    <w:rsid w:val="00463D81"/>
    <w:rsid w:val="00464122"/>
    <w:rsid w:val="004648D3"/>
    <w:rsid w:val="00465484"/>
    <w:rsid w:val="004663D6"/>
    <w:rsid w:val="00466ACB"/>
    <w:rsid w:val="00466AED"/>
    <w:rsid w:val="004732A1"/>
    <w:rsid w:val="004757B1"/>
    <w:rsid w:val="00476421"/>
    <w:rsid w:val="00482659"/>
    <w:rsid w:val="004832C9"/>
    <w:rsid w:val="00483C5D"/>
    <w:rsid w:val="00484495"/>
    <w:rsid w:val="00486030"/>
    <w:rsid w:val="004861E7"/>
    <w:rsid w:val="0049217D"/>
    <w:rsid w:val="0049254E"/>
    <w:rsid w:val="00492CCD"/>
    <w:rsid w:val="00495C52"/>
    <w:rsid w:val="00496C10"/>
    <w:rsid w:val="004A2863"/>
    <w:rsid w:val="004A513F"/>
    <w:rsid w:val="004A6D51"/>
    <w:rsid w:val="004B0FB8"/>
    <w:rsid w:val="004B10BF"/>
    <w:rsid w:val="004B679D"/>
    <w:rsid w:val="004C1F77"/>
    <w:rsid w:val="004C2554"/>
    <w:rsid w:val="004C47C9"/>
    <w:rsid w:val="004C5372"/>
    <w:rsid w:val="004D1FB7"/>
    <w:rsid w:val="004D30EA"/>
    <w:rsid w:val="004D36E7"/>
    <w:rsid w:val="004D3A45"/>
    <w:rsid w:val="004D56B2"/>
    <w:rsid w:val="004D5AB2"/>
    <w:rsid w:val="004E1886"/>
    <w:rsid w:val="004E2960"/>
    <w:rsid w:val="004E5320"/>
    <w:rsid w:val="004F0149"/>
    <w:rsid w:val="004F0657"/>
    <w:rsid w:val="004F0876"/>
    <w:rsid w:val="004F1E02"/>
    <w:rsid w:val="004F3C6A"/>
    <w:rsid w:val="004F7098"/>
    <w:rsid w:val="004F712A"/>
    <w:rsid w:val="00500FA8"/>
    <w:rsid w:val="0050477A"/>
    <w:rsid w:val="00504CFE"/>
    <w:rsid w:val="005056CD"/>
    <w:rsid w:val="00520A6C"/>
    <w:rsid w:val="00520B92"/>
    <w:rsid w:val="00524CE0"/>
    <w:rsid w:val="0052784B"/>
    <w:rsid w:val="0053048D"/>
    <w:rsid w:val="0053051B"/>
    <w:rsid w:val="00531A94"/>
    <w:rsid w:val="00534275"/>
    <w:rsid w:val="0053525E"/>
    <w:rsid w:val="005428F6"/>
    <w:rsid w:val="00551208"/>
    <w:rsid w:val="005515F5"/>
    <w:rsid w:val="0055376C"/>
    <w:rsid w:val="005605DA"/>
    <w:rsid w:val="00562C24"/>
    <w:rsid w:val="00565090"/>
    <w:rsid w:val="00574EBA"/>
    <w:rsid w:val="00577A40"/>
    <w:rsid w:val="00580A06"/>
    <w:rsid w:val="00582B7C"/>
    <w:rsid w:val="00586927"/>
    <w:rsid w:val="00590136"/>
    <w:rsid w:val="00590774"/>
    <w:rsid w:val="005A2550"/>
    <w:rsid w:val="005A6473"/>
    <w:rsid w:val="005A778D"/>
    <w:rsid w:val="005B1D1C"/>
    <w:rsid w:val="005B4B8C"/>
    <w:rsid w:val="005B5BB2"/>
    <w:rsid w:val="005B609C"/>
    <w:rsid w:val="005B6893"/>
    <w:rsid w:val="005C1F66"/>
    <w:rsid w:val="005C2ECF"/>
    <w:rsid w:val="005C2F25"/>
    <w:rsid w:val="005C3EB2"/>
    <w:rsid w:val="005C6CBD"/>
    <w:rsid w:val="005D4B5F"/>
    <w:rsid w:val="005D50AC"/>
    <w:rsid w:val="005E24C5"/>
    <w:rsid w:val="005E747A"/>
    <w:rsid w:val="005F5382"/>
    <w:rsid w:val="005F6C69"/>
    <w:rsid w:val="006001CD"/>
    <w:rsid w:val="00600591"/>
    <w:rsid w:val="00600AC4"/>
    <w:rsid w:val="00606127"/>
    <w:rsid w:val="00606306"/>
    <w:rsid w:val="00615146"/>
    <w:rsid w:val="00617FE0"/>
    <w:rsid w:val="00620E5D"/>
    <w:rsid w:val="006215A0"/>
    <w:rsid w:val="006243C8"/>
    <w:rsid w:val="00625659"/>
    <w:rsid w:val="00626AD6"/>
    <w:rsid w:val="0063015B"/>
    <w:rsid w:val="006347E8"/>
    <w:rsid w:val="00634C2A"/>
    <w:rsid w:val="00635B70"/>
    <w:rsid w:val="00640450"/>
    <w:rsid w:val="00641C44"/>
    <w:rsid w:val="006442A5"/>
    <w:rsid w:val="00645979"/>
    <w:rsid w:val="0064673B"/>
    <w:rsid w:val="0065649B"/>
    <w:rsid w:val="0066001A"/>
    <w:rsid w:val="00663F0C"/>
    <w:rsid w:val="00664D4B"/>
    <w:rsid w:val="00665352"/>
    <w:rsid w:val="00667037"/>
    <w:rsid w:val="006737EE"/>
    <w:rsid w:val="00674C99"/>
    <w:rsid w:val="00676673"/>
    <w:rsid w:val="006770AB"/>
    <w:rsid w:val="00680C16"/>
    <w:rsid w:val="006819C5"/>
    <w:rsid w:val="006825E4"/>
    <w:rsid w:val="00682890"/>
    <w:rsid w:val="00682AAD"/>
    <w:rsid w:val="00682D3E"/>
    <w:rsid w:val="00683B54"/>
    <w:rsid w:val="0068581A"/>
    <w:rsid w:val="00690A87"/>
    <w:rsid w:val="00690FDF"/>
    <w:rsid w:val="00691E39"/>
    <w:rsid w:val="0069263C"/>
    <w:rsid w:val="00693873"/>
    <w:rsid w:val="006952D5"/>
    <w:rsid w:val="006957DC"/>
    <w:rsid w:val="00695A26"/>
    <w:rsid w:val="006967E9"/>
    <w:rsid w:val="006A0BEA"/>
    <w:rsid w:val="006B0F83"/>
    <w:rsid w:val="006B2967"/>
    <w:rsid w:val="006B4BEE"/>
    <w:rsid w:val="006C2BEB"/>
    <w:rsid w:val="006C34A2"/>
    <w:rsid w:val="006C516D"/>
    <w:rsid w:val="006C6207"/>
    <w:rsid w:val="006C666A"/>
    <w:rsid w:val="006C78A6"/>
    <w:rsid w:val="006D6361"/>
    <w:rsid w:val="006D6C3F"/>
    <w:rsid w:val="006E0480"/>
    <w:rsid w:val="006E0A0E"/>
    <w:rsid w:val="006E2630"/>
    <w:rsid w:val="006F0385"/>
    <w:rsid w:val="006F5C59"/>
    <w:rsid w:val="006F7681"/>
    <w:rsid w:val="0070588D"/>
    <w:rsid w:val="00705F33"/>
    <w:rsid w:val="00707DE1"/>
    <w:rsid w:val="00710EC1"/>
    <w:rsid w:val="00711108"/>
    <w:rsid w:val="0071369B"/>
    <w:rsid w:val="00713B43"/>
    <w:rsid w:val="0071559F"/>
    <w:rsid w:val="00716014"/>
    <w:rsid w:val="00720F7A"/>
    <w:rsid w:val="007230D9"/>
    <w:rsid w:val="00723444"/>
    <w:rsid w:val="00723FF1"/>
    <w:rsid w:val="00724F9D"/>
    <w:rsid w:val="00730A07"/>
    <w:rsid w:val="00730CBF"/>
    <w:rsid w:val="007325CE"/>
    <w:rsid w:val="00733BA6"/>
    <w:rsid w:val="00733E5B"/>
    <w:rsid w:val="0074002F"/>
    <w:rsid w:val="0074013F"/>
    <w:rsid w:val="00741BD0"/>
    <w:rsid w:val="00741E1E"/>
    <w:rsid w:val="00741EBC"/>
    <w:rsid w:val="0074284A"/>
    <w:rsid w:val="00744952"/>
    <w:rsid w:val="00745449"/>
    <w:rsid w:val="00745763"/>
    <w:rsid w:val="00746409"/>
    <w:rsid w:val="00756463"/>
    <w:rsid w:val="00757469"/>
    <w:rsid w:val="00760638"/>
    <w:rsid w:val="00763710"/>
    <w:rsid w:val="00763ADD"/>
    <w:rsid w:val="007734F2"/>
    <w:rsid w:val="00776A59"/>
    <w:rsid w:val="00777BE6"/>
    <w:rsid w:val="00782EAB"/>
    <w:rsid w:val="007834DF"/>
    <w:rsid w:val="007838F4"/>
    <w:rsid w:val="007847EE"/>
    <w:rsid w:val="00787908"/>
    <w:rsid w:val="00787C5B"/>
    <w:rsid w:val="00790BEE"/>
    <w:rsid w:val="00791E48"/>
    <w:rsid w:val="0079233C"/>
    <w:rsid w:val="007953E3"/>
    <w:rsid w:val="007A66AE"/>
    <w:rsid w:val="007A721D"/>
    <w:rsid w:val="007B4A2D"/>
    <w:rsid w:val="007B6B32"/>
    <w:rsid w:val="007C0AAD"/>
    <w:rsid w:val="007C1017"/>
    <w:rsid w:val="007C328A"/>
    <w:rsid w:val="007C43EE"/>
    <w:rsid w:val="007C4EB2"/>
    <w:rsid w:val="007C6E39"/>
    <w:rsid w:val="007C7ECB"/>
    <w:rsid w:val="007D0813"/>
    <w:rsid w:val="007D4EC3"/>
    <w:rsid w:val="007E6445"/>
    <w:rsid w:val="007E7D88"/>
    <w:rsid w:val="007F13FB"/>
    <w:rsid w:val="007F1F13"/>
    <w:rsid w:val="007F2529"/>
    <w:rsid w:val="007F4449"/>
    <w:rsid w:val="007F563F"/>
    <w:rsid w:val="007F782C"/>
    <w:rsid w:val="007F7E35"/>
    <w:rsid w:val="0080044B"/>
    <w:rsid w:val="00804C60"/>
    <w:rsid w:val="00804EDE"/>
    <w:rsid w:val="008056AC"/>
    <w:rsid w:val="008155A2"/>
    <w:rsid w:val="00817D61"/>
    <w:rsid w:val="008218DF"/>
    <w:rsid w:val="008227DC"/>
    <w:rsid w:val="00822811"/>
    <w:rsid w:val="00827A63"/>
    <w:rsid w:val="00830752"/>
    <w:rsid w:val="00830E1C"/>
    <w:rsid w:val="008314B0"/>
    <w:rsid w:val="00831AE3"/>
    <w:rsid w:val="008326E3"/>
    <w:rsid w:val="00832FC6"/>
    <w:rsid w:val="008349F6"/>
    <w:rsid w:val="0083579C"/>
    <w:rsid w:val="00836453"/>
    <w:rsid w:val="00836D72"/>
    <w:rsid w:val="00837096"/>
    <w:rsid w:val="00837521"/>
    <w:rsid w:val="008428F5"/>
    <w:rsid w:val="00843022"/>
    <w:rsid w:val="008463BB"/>
    <w:rsid w:val="00846E22"/>
    <w:rsid w:val="00850E01"/>
    <w:rsid w:val="00855C52"/>
    <w:rsid w:val="00856E86"/>
    <w:rsid w:val="0086106A"/>
    <w:rsid w:val="00861FFA"/>
    <w:rsid w:val="008625D9"/>
    <w:rsid w:val="00863AF0"/>
    <w:rsid w:val="008652D8"/>
    <w:rsid w:val="0088052F"/>
    <w:rsid w:val="00882386"/>
    <w:rsid w:val="00883171"/>
    <w:rsid w:val="008854C0"/>
    <w:rsid w:val="00885FCC"/>
    <w:rsid w:val="00886829"/>
    <w:rsid w:val="00886BE4"/>
    <w:rsid w:val="008875F3"/>
    <w:rsid w:val="00887DCC"/>
    <w:rsid w:val="00893EDF"/>
    <w:rsid w:val="00896B38"/>
    <w:rsid w:val="008A1165"/>
    <w:rsid w:val="008A1655"/>
    <w:rsid w:val="008A25E8"/>
    <w:rsid w:val="008A33F0"/>
    <w:rsid w:val="008A376D"/>
    <w:rsid w:val="008A4C64"/>
    <w:rsid w:val="008A6095"/>
    <w:rsid w:val="008B381B"/>
    <w:rsid w:val="008B3920"/>
    <w:rsid w:val="008B436C"/>
    <w:rsid w:val="008B484B"/>
    <w:rsid w:val="008C2A7C"/>
    <w:rsid w:val="008C68F0"/>
    <w:rsid w:val="008C752E"/>
    <w:rsid w:val="008C7F3E"/>
    <w:rsid w:val="008D25F9"/>
    <w:rsid w:val="008D461A"/>
    <w:rsid w:val="008D6BED"/>
    <w:rsid w:val="008D7108"/>
    <w:rsid w:val="008D7B9B"/>
    <w:rsid w:val="008E1042"/>
    <w:rsid w:val="008E4CB7"/>
    <w:rsid w:val="008F0833"/>
    <w:rsid w:val="008F46D6"/>
    <w:rsid w:val="008F56E0"/>
    <w:rsid w:val="008F57DF"/>
    <w:rsid w:val="008F6882"/>
    <w:rsid w:val="008F76D8"/>
    <w:rsid w:val="00900938"/>
    <w:rsid w:val="00901E3A"/>
    <w:rsid w:val="009026A5"/>
    <w:rsid w:val="009039D8"/>
    <w:rsid w:val="0090615C"/>
    <w:rsid w:val="00906F5A"/>
    <w:rsid w:val="00910F4E"/>
    <w:rsid w:val="0091439E"/>
    <w:rsid w:val="00914D4E"/>
    <w:rsid w:val="00917656"/>
    <w:rsid w:val="009216FA"/>
    <w:rsid w:val="00925FD3"/>
    <w:rsid w:val="0092667B"/>
    <w:rsid w:val="009303C6"/>
    <w:rsid w:val="009324E6"/>
    <w:rsid w:val="00935A9F"/>
    <w:rsid w:val="00936A97"/>
    <w:rsid w:val="009408C3"/>
    <w:rsid w:val="00943C19"/>
    <w:rsid w:val="0094423C"/>
    <w:rsid w:val="009466A3"/>
    <w:rsid w:val="00952590"/>
    <w:rsid w:val="009552B1"/>
    <w:rsid w:val="009552C5"/>
    <w:rsid w:val="00956EE8"/>
    <w:rsid w:val="00957B6D"/>
    <w:rsid w:val="00965836"/>
    <w:rsid w:val="00965A4C"/>
    <w:rsid w:val="00966865"/>
    <w:rsid w:val="0096696A"/>
    <w:rsid w:val="00966B5D"/>
    <w:rsid w:val="0097113F"/>
    <w:rsid w:val="00972284"/>
    <w:rsid w:val="00972CAD"/>
    <w:rsid w:val="0097345F"/>
    <w:rsid w:val="009777F7"/>
    <w:rsid w:val="009809F8"/>
    <w:rsid w:val="00982B2D"/>
    <w:rsid w:val="00982D2B"/>
    <w:rsid w:val="00984746"/>
    <w:rsid w:val="0098569D"/>
    <w:rsid w:val="00985D0A"/>
    <w:rsid w:val="00987D19"/>
    <w:rsid w:val="0099178E"/>
    <w:rsid w:val="00992562"/>
    <w:rsid w:val="009937B5"/>
    <w:rsid w:val="0099670B"/>
    <w:rsid w:val="0099704B"/>
    <w:rsid w:val="0099762D"/>
    <w:rsid w:val="009A0A2F"/>
    <w:rsid w:val="009A2E0C"/>
    <w:rsid w:val="009A2E29"/>
    <w:rsid w:val="009A44FE"/>
    <w:rsid w:val="009B25D5"/>
    <w:rsid w:val="009B508F"/>
    <w:rsid w:val="009D11D9"/>
    <w:rsid w:val="009D4A33"/>
    <w:rsid w:val="009D65BE"/>
    <w:rsid w:val="009D67E0"/>
    <w:rsid w:val="009D6CCB"/>
    <w:rsid w:val="009D72C4"/>
    <w:rsid w:val="009D795D"/>
    <w:rsid w:val="009E0048"/>
    <w:rsid w:val="009E0463"/>
    <w:rsid w:val="009E39B2"/>
    <w:rsid w:val="009E3CB7"/>
    <w:rsid w:val="009E46BF"/>
    <w:rsid w:val="009E4C6A"/>
    <w:rsid w:val="009F36FB"/>
    <w:rsid w:val="009F55FF"/>
    <w:rsid w:val="00A00716"/>
    <w:rsid w:val="00A0150B"/>
    <w:rsid w:val="00A01E79"/>
    <w:rsid w:val="00A02FBC"/>
    <w:rsid w:val="00A031AD"/>
    <w:rsid w:val="00A03B22"/>
    <w:rsid w:val="00A0595B"/>
    <w:rsid w:val="00A066C6"/>
    <w:rsid w:val="00A11C7B"/>
    <w:rsid w:val="00A11DCF"/>
    <w:rsid w:val="00A11FDB"/>
    <w:rsid w:val="00A120D0"/>
    <w:rsid w:val="00A13C61"/>
    <w:rsid w:val="00A14EEF"/>
    <w:rsid w:val="00A166EA"/>
    <w:rsid w:val="00A17CB1"/>
    <w:rsid w:val="00A20AE9"/>
    <w:rsid w:val="00A2155B"/>
    <w:rsid w:val="00A21CB8"/>
    <w:rsid w:val="00A24BF9"/>
    <w:rsid w:val="00A305A8"/>
    <w:rsid w:val="00A32C22"/>
    <w:rsid w:val="00A3454B"/>
    <w:rsid w:val="00A4176B"/>
    <w:rsid w:val="00A45716"/>
    <w:rsid w:val="00A47C60"/>
    <w:rsid w:val="00A51E24"/>
    <w:rsid w:val="00A51F6D"/>
    <w:rsid w:val="00A533D3"/>
    <w:rsid w:val="00A54578"/>
    <w:rsid w:val="00A5503C"/>
    <w:rsid w:val="00A55733"/>
    <w:rsid w:val="00A562F4"/>
    <w:rsid w:val="00A5734C"/>
    <w:rsid w:val="00A604D3"/>
    <w:rsid w:val="00A62471"/>
    <w:rsid w:val="00A64585"/>
    <w:rsid w:val="00A67237"/>
    <w:rsid w:val="00A719DC"/>
    <w:rsid w:val="00A7302C"/>
    <w:rsid w:val="00A735E5"/>
    <w:rsid w:val="00A73776"/>
    <w:rsid w:val="00A81E42"/>
    <w:rsid w:val="00A84F7E"/>
    <w:rsid w:val="00A85822"/>
    <w:rsid w:val="00A8774A"/>
    <w:rsid w:val="00A906F0"/>
    <w:rsid w:val="00A91C6F"/>
    <w:rsid w:val="00A941DF"/>
    <w:rsid w:val="00A94F83"/>
    <w:rsid w:val="00A96B4B"/>
    <w:rsid w:val="00A96C9B"/>
    <w:rsid w:val="00AB13BA"/>
    <w:rsid w:val="00AB2851"/>
    <w:rsid w:val="00AB59B4"/>
    <w:rsid w:val="00AB666D"/>
    <w:rsid w:val="00AB6774"/>
    <w:rsid w:val="00AC0762"/>
    <w:rsid w:val="00AC34C2"/>
    <w:rsid w:val="00AC403B"/>
    <w:rsid w:val="00AC4AB0"/>
    <w:rsid w:val="00AC5CA5"/>
    <w:rsid w:val="00AC6463"/>
    <w:rsid w:val="00AC7D3F"/>
    <w:rsid w:val="00AC7FF0"/>
    <w:rsid w:val="00AD0403"/>
    <w:rsid w:val="00AD1307"/>
    <w:rsid w:val="00AD18BF"/>
    <w:rsid w:val="00AD4A81"/>
    <w:rsid w:val="00AD5D7B"/>
    <w:rsid w:val="00AD6658"/>
    <w:rsid w:val="00AD71D3"/>
    <w:rsid w:val="00AE2362"/>
    <w:rsid w:val="00AE4315"/>
    <w:rsid w:val="00AF3D11"/>
    <w:rsid w:val="00AF6DE2"/>
    <w:rsid w:val="00B02D65"/>
    <w:rsid w:val="00B04F24"/>
    <w:rsid w:val="00B05978"/>
    <w:rsid w:val="00B05DF1"/>
    <w:rsid w:val="00B070F2"/>
    <w:rsid w:val="00B1116B"/>
    <w:rsid w:val="00B11C0A"/>
    <w:rsid w:val="00B12532"/>
    <w:rsid w:val="00B1452C"/>
    <w:rsid w:val="00B14950"/>
    <w:rsid w:val="00B153DA"/>
    <w:rsid w:val="00B201DE"/>
    <w:rsid w:val="00B20F19"/>
    <w:rsid w:val="00B223C8"/>
    <w:rsid w:val="00B23ECB"/>
    <w:rsid w:val="00B242AC"/>
    <w:rsid w:val="00B2431F"/>
    <w:rsid w:val="00B249FC"/>
    <w:rsid w:val="00B25E38"/>
    <w:rsid w:val="00B26A41"/>
    <w:rsid w:val="00B3152C"/>
    <w:rsid w:val="00B33CB6"/>
    <w:rsid w:val="00B34213"/>
    <w:rsid w:val="00B35B58"/>
    <w:rsid w:val="00B35D5A"/>
    <w:rsid w:val="00B406EC"/>
    <w:rsid w:val="00B40C03"/>
    <w:rsid w:val="00B4145B"/>
    <w:rsid w:val="00B41A2F"/>
    <w:rsid w:val="00B42F53"/>
    <w:rsid w:val="00B4337B"/>
    <w:rsid w:val="00B43BA1"/>
    <w:rsid w:val="00B4628C"/>
    <w:rsid w:val="00B50F98"/>
    <w:rsid w:val="00B5142E"/>
    <w:rsid w:val="00B53623"/>
    <w:rsid w:val="00B53D97"/>
    <w:rsid w:val="00B5434C"/>
    <w:rsid w:val="00B57ABA"/>
    <w:rsid w:val="00B60CCE"/>
    <w:rsid w:val="00B61697"/>
    <w:rsid w:val="00B63306"/>
    <w:rsid w:val="00B657FE"/>
    <w:rsid w:val="00B70D28"/>
    <w:rsid w:val="00B70FFF"/>
    <w:rsid w:val="00B71116"/>
    <w:rsid w:val="00B716A7"/>
    <w:rsid w:val="00B72DD5"/>
    <w:rsid w:val="00B74E6C"/>
    <w:rsid w:val="00B752A3"/>
    <w:rsid w:val="00B75460"/>
    <w:rsid w:val="00B806E1"/>
    <w:rsid w:val="00B83B11"/>
    <w:rsid w:val="00B83EE3"/>
    <w:rsid w:val="00B848B2"/>
    <w:rsid w:val="00B9211C"/>
    <w:rsid w:val="00B955DE"/>
    <w:rsid w:val="00B978E8"/>
    <w:rsid w:val="00BA05D9"/>
    <w:rsid w:val="00BA06CB"/>
    <w:rsid w:val="00BA1CE6"/>
    <w:rsid w:val="00BA27BF"/>
    <w:rsid w:val="00BA36A4"/>
    <w:rsid w:val="00BA44F0"/>
    <w:rsid w:val="00BA6F9F"/>
    <w:rsid w:val="00BB2087"/>
    <w:rsid w:val="00BB2717"/>
    <w:rsid w:val="00BB2788"/>
    <w:rsid w:val="00BB2C86"/>
    <w:rsid w:val="00BB3794"/>
    <w:rsid w:val="00BC006D"/>
    <w:rsid w:val="00BC0F4C"/>
    <w:rsid w:val="00BC3A83"/>
    <w:rsid w:val="00BC455C"/>
    <w:rsid w:val="00BC5DD1"/>
    <w:rsid w:val="00BC6336"/>
    <w:rsid w:val="00BC6A55"/>
    <w:rsid w:val="00BC79B4"/>
    <w:rsid w:val="00BD1544"/>
    <w:rsid w:val="00BD1CA0"/>
    <w:rsid w:val="00BD4847"/>
    <w:rsid w:val="00BD4EE4"/>
    <w:rsid w:val="00BD65D0"/>
    <w:rsid w:val="00BE17B0"/>
    <w:rsid w:val="00BE3C7C"/>
    <w:rsid w:val="00BE3F8F"/>
    <w:rsid w:val="00BE586F"/>
    <w:rsid w:val="00BE6ECF"/>
    <w:rsid w:val="00BE73ED"/>
    <w:rsid w:val="00BE77A3"/>
    <w:rsid w:val="00BF0B60"/>
    <w:rsid w:val="00BF5529"/>
    <w:rsid w:val="00C0180B"/>
    <w:rsid w:val="00C04BA3"/>
    <w:rsid w:val="00C04CAC"/>
    <w:rsid w:val="00C05668"/>
    <w:rsid w:val="00C06A7C"/>
    <w:rsid w:val="00C07521"/>
    <w:rsid w:val="00C101E7"/>
    <w:rsid w:val="00C118BC"/>
    <w:rsid w:val="00C161A4"/>
    <w:rsid w:val="00C2074E"/>
    <w:rsid w:val="00C2199C"/>
    <w:rsid w:val="00C25155"/>
    <w:rsid w:val="00C25AB1"/>
    <w:rsid w:val="00C268FB"/>
    <w:rsid w:val="00C27065"/>
    <w:rsid w:val="00C27A95"/>
    <w:rsid w:val="00C345F4"/>
    <w:rsid w:val="00C3584A"/>
    <w:rsid w:val="00C35DC1"/>
    <w:rsid w:val="00C365E6"/>
    <w:rsid w:val="00C36F72"/>
    <w:rsid w:val="00C37523"/>
    <w:rsid w:val="00C378F0"/>
    <w:rsid w:val="00C43226"/>
    <w:rsid w:val="00C45833"/>
    <w:rsid w:val="00C47DE2"/>
    <w:rsid w:val="00C523CD"/>
    <w:rsid w:val="00C52EEB"/>
    <w:rsid w:val="00C53A86"/>
    <w:rsid w:val="00C53B87"/>
    <w:rsid w:val="00C53F49"/>
    <w:rsid w:val="00C56449"/>
    <w:rsid w:val="00C602F6"/>
    <w:rsid w:val="00C61A32"/>
    <w:rsid w:val="00C6372C"/>
    <w:rsid w:val="00C63C3C"/>
    <w:rsid w:val="00C63CCC"/>
    <w:rsid w:val="00C70B5A"/>
    <w:rsid w:val="00C72155"/>
    <w:rsid w:val="00C7371C"/>
    <w:rsid w:val="00C75DD4"/>
    <w:rsid w:val="00C7654F"/>
    <w:rsid w:val="00C77F1D"/>
    <w:rsid w:val="00C80CB2"/>
    <w:rsid w:val="00C8150C"/>
    <w:rsid w:val="00C817C7"/>
    <w:rsid w:val="00C8389E"/>
    <w:rsid w:val="00C83BC5"/>
    <w:rsid w:val="00C845F2"/>
    <w:rsid w:val="00C85BB5"/>
    <w:rsid w:val="00C8601D"/>
    <w:rsid w:val="00C8723C"/>
    <w:rsid w:val="00C91046"/>
    <w:rsid w:val="00C96503"/>
    <w:rsid w:val="00C97089"/>
    <w:rsid w:val="00CA07D2"/>
    <w:rsid w:val="00CA1D24"/>
    <w:rsid w:val="00CA2F79"/>
    <w:rsid w:val="00CA57EB"/>
    <w:rsid w:val="00CB01EE"/>
    <w:rsid w:val="00CB05E6"/>
    <w:rsid w:val="00CB1929"/>
    <w:rsid w:val="00CB2C2C"/>
    <w:rsid w:val="00CB5FE4"/>
    <w:rsid w:val="00CB784F"/>
    <w:rsid w:val="00CC3665"/>
    <w:rsid w:val="00CC53BE"/>
    <w:rsid w:val="00CC6059"/>
    <w:rsid w:val="00CD0B24"/>
    <w:rsid w:val="00CE026B"/>
    <w:rsid w:val="00CE5560"/>
    <w:rsid w:val="00CE746F"/>
    <w:rsid w:val="00CE758B"/>
    <w:rsid w:val="00CE7B3B"/>
    <w:rsid w:val="00CF1FD7"/>
    <w:rsid w:val="00CF503A"/>
    <w:rsid w:val="00CF75D5"/>
    <w:rsid w:val="00D00200"/>
    <w:rsid w:val="00D008EE"/>
    <w:rsid w:val="00D03A72"/>
    <w:rsid w:val="00D05576"/>
    <w:rsid w:val="00D11351"/>
    <w:rsid w:val="00D215A4"/>
    <w:rsid w:val="00D22F2A"/>
    <w:rsid w:val="00D23CB3"/>
    <w:rsid w:val="00D30748"/>
    <w:rsid w:val="00D3179F"/>
    <w:rsid w:val="00D31A3B"/>
    <w:rsid w:val="00D445F8"/>
    <w:rsid w:val="00D510BA"/>
    <w:rsid w:val="00D533B3"/>
    <w:rsid w:val="00D54AA1"/>
    <w:rsid w:val="00D55480"/>
    <w:rsid w:val="00D56D2C"/>
    <w:rsid w:val="00D57F8C"/>
    <w:rsid w:val="00D60F25"/>
    <w:rsid w:val="00D618B9"/>
    <w:rsid w:val="00D62644"/>
    <w:rsid w:val="00D62851"/>
    <w:rsid w:val="00D65E05"/>
    <w:rsid w:val="00D721F7"/>
    <w:rsid w:val="00D756F5"/>
    <w:rsid w:val="00D81676"/>
    <w:rsid w:val="00D87FC9"/>
    <w:rsid w:val="00D91BB0"/>
    <w:rsid w:val="00D923AA"/>
    <w:rsid w:val="00D92EE2"/>
    <w:rsid w:val="00D9673A"/>
    <w:rsid w:val="00D96F0A"/>
    <w:rsid w:val="00DA40EE"/>
    <w:rsid w:val="00DA4122"/>
    <w:rsid w:val="00DA611C"/>
    <w:rsid w:val="00DA70A5"/>
    <w:rsid w:val="00DB0575"/>
    <w:rsid w:val="00DB4DA4"/>
    <w:rsid w:val="00DB6031"/>
    <w:rsid w:val="00DB60D9"/>
    <w:rsid w:val="00DB7948"/>
    <w:rsid w:val="00DC00B4"/>
    <w:rsid w:val="00DC116A"/>
    <w:rsid w:val="00DC1329"/>
    <w:rsid w:val="00DC16A7"/>
    <w:rsid w:val="00DC1965"/>
    <w:rsid w:val="00DC22B7"/>
    <w:rsid w:val="00DC430C"/>
    <w:rsid w:val="00DC6167"/>
    <w:rsid w:val="00DC72C0"/>
    <w:rsid w:val="00DE166D"/>
    <w:rsid w:val="00DE28CA"/>
    <w:rsid w:val="00DE3131"/>
    <w:rsid w:val="00DE42D8"/>
    <w:rsid w:val="00DF4145"/>
    <w:rsid w:val="00DF4538"/>
    <w:rsid w:val="00DF7990"/>
    <w:rsid w:val="00E00250"/>
    <w:rsid w:val="00E00381"/>
    <w:rsid w:val="00E0048D"/>
    <w:rsid w:val="00E00571"/>
    <w:rsid w:val="00E02C16"/>
    <w:rsid w:val="00E04E38"/>
    <w:rsid w:val="00E0652C"/>
    <w:rsid w:val="00E0659C"/>
    <w:rsid w:val="00E07D40"/>
    <w:rsid w:val="00E07F53"/>
    <w:rsid w:val="00E113A0"/>
    <w:rsid w:val="00E15A1F"/>
    <w:rsid w:val="00E15E96"/>
    <w:rsid w:val="00E228A5"/>
    <w:rsid w:val="00E251A2"/>
    <w:rsid w:val="00E251DA"/>
    <w:rsid w:val="00E30A30"/>
    <w:rsid w:val="00E3122E"/>
    <w:rsid w:val="00E32269"/>
    <w:rsid w:val="00E34316"/>
    <w:rsid w:val="00E351A2"/>
    <w:rsid w:val="00E364E5"/>
    <w:rsid w:val="00E36B98"/>
    <w:rsid w:val="00E36CFE"/>
    <w:rsid w:val="00E370EC"/>
    <w:rsid w:val="00E403AF"/>
    <w:rsid w:val="00E40AF3"/>
    <w:rsid w:val="00E4490E"/>
    <w:rsid w:val="00E50392"/>
    <w:rsid w:val="00E50CC8"/>
    <w:rsid w:val="00E5252A"/>
    <w:rsid w:val="00E61C09"/>
    <w:rsid w:val="00E61DF1"/>
    <w:rsid w:val="00E61E04"/>
    <w:rsid w:val="00E623BD"/>
    <w:rsid w:val="00E71D1A"/>
    <w:rsid w:val="00E71F23"/>
    <w:rsid w:val="00E72B49"/>
    <w:rsid w:val="00E732C3"/>
    <w:rsid w:val="00E74543"/>
    <w:rsid w:val="00E75BBC"/>
    <w:rsid w:val="00E76475"/>
    <w:rsid w:val="00E866EA"/>
    <w:rsid w:val="00E86D04"/>
    <w:rsid w:val="00E93227"/>
    <w:rsid w:val="00EA0760"/>
    <w:rsid w:val="00EA0E86"/>
    <w:rsid w:val="00EA25AB"/>
    <w:rsid w:val="00EA2631"/>
    <w:rsid w:val="00EA3B84"/>
    <w:rsid w:val="00EA4FC2"/>
    <w:rsid w:val="00EA6069"/>
    <w:rsid w:val="00EA658D"/>
    <w:rsid w:val="00EA65DE"/>
    <w:rsid w:val="00EA6B64"/>
    <w:rsid w:val="00EA6F6A"/>
    <w:rsid w:val="00EB2716"/>
    <w:rsid w:val="00EB402A"/>
    <w:rsid w:val="00EC0673"/>
    <w:rsid w:val="00EC58D1"/>
    <w:rsid w:val="00EC73ED"/>
    <w:rsid w:val="00ED0870"/>
    <w:rsid w:val="00ED1250"/>
    <w:rsid w:val="00ED31D4"/>
    <w:rsid w:val="00ED6260"/>
    <w:rsid w:val="00EE21A0"/>
    <w:rsid w:val="00EE2FE5"/>
    <w:rsid w:val="00EE4767"/>
    <w:rsid w:val="00EF0527"/>
    <w:rsid w:val="00EF0C1B"/>
    <w:rsid w:val="00EF1A56"/>
    <w:rsid w:val="00EF3339"/>
    <w:rsid w:val="00EF59C1"/>
    <w:rsid w:val="00EF673A"/>
    <w:rsid w:val="00F017C6"/>
    <w:rsid w:val="00F036AB"/>
    <w:rsid w:val="00F056AA"/>
    <w:rsid w:val="00F05F6D"/>
    <w:rsid w:val="00F0691B"/>
    <w:rsid w:val="00F06A08"/>
    <w:rsid w:val="00F07CFB"/>
    <w:rsid w:val="00F11D07"/>
    <w:rsid w:val="00F121C3"/>
    <w:rsid w:val="00F15219"/>
    <w:rsid w:val="00F168CA"/>
    <w:rsid w:val="00F22BCE"/>
    <w:rsid w:val="00F248F7"/>
    <w:rsid w:val="00F25DB7"/>
    <w:rsid w:val="00F30218"/>
    <w:rsid w:val="00F304B1"/>
    <w:rsid w:val="00F3181E"/>
    <w:rsid w:val="00F32C69"/>
    <w:rsid w:val="00F361E4"/>
    <w:rsid w:val="00F40EC9"/>
    <w:rsid w:val="00F41F13"/>
    <w:rsid w:val="00F449B5"/>
    <w:rsid w:val="00F47FF1"/>
    <w:rsid w:val="00F53558"/>
    <w:rsid w:val="00F55C78"/>
    <w:rsid w:val="00F60AFB"/>
    <w:rsid w:val="00F6313E"/>
    <w:rsid w:val="00F6743D"/>
    <w:rsid w:val="00F70BF8"/>
    <w:rsid w:val="00F71044"/>
    <w:rsid w:val="00F72F76"/>
    <w:rsid w:val="00F73D24"/>
    <w:rsid w:val="00F73DDB"/>
    <w:rsid w:val="00F757A3"/>
    <w:rsid w:val="00F8166C"/>
    <w:rsid w:val="00F81ED1"/>
    <w:rsid w:val="00F81F52"/>
    <w:rsid w:val="00F84324"/>
    <w:rsid w:val="00F8435B"/>
    <w:rsid w:val="00F85E75"/>
    <w:rsid w:val="00F863C0"/>
    <w:rsid w:val="00F90DD8"/>
    <w:rsid w:val="00F92209"/>
    <w:rsid w:val="00F95344"/>
    <w:rsid w:val="00F96472"/>
    <w:rsid w:val="00FA56BA"/>
    <w:rsid w:val="00FB21C7"/>
    <w:rsid w:val="00FB52D7"/>
    <w:rsid w:val="00FB66CD"/>
    <w:rsid w:val="00FB6A37"/>
    <w:rsid w:val="00FB73C0"/>
    <w:rsid w:val="00FC06DB"/>
    <w:rsid w:val="00FC39EB"/>
    <w:rsid w:val="00FC42B3"/>
    <w:rsid w:val="00FC44B9"/>
    <w:rsid w:val="00FC749D"/>
    <w:rsid w:val="00FC7952"/>
    <w:rsid w:val="00FD13F5"/>
    <w:rsid w:val="00FD36C6"/>
    <w:rsid w:val="00FD3E41"/>
    <w:rsid w:val="00FD4779"/>
    <w:rsid w:val="00FD54E7"/>
    <w:rsid w:val="00FE01AD"/>
    <w:rsid w:val="00FE1B0C"/>
    <w:rsid w:val="00FE447F"/>
    <w:rsid w:val="00FE4BDE"/>
    <w:rsid w:val="00FE5E32"/>
    <w:rsid w:val="00FE7828"/>
    <w:rsid w:val="00FF06F6"/>
    <w:rsid w:val="00FF0E5A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A43A"/>
  <w15:docId w15:val="{949E0BAB-EE25-4465-A9CB-9E27961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28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A0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FE7828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E7828"/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numbering" w:customStyle="1" w:styleId="NoList1">
    <w:name w:val="No List1"/>
    <w:next w:val="Bezpopisa"/>
    <w:semiHidden/>
    <w:rsid w:val="00FE7828"/>
  </w:style>
  <w:style w:type="paragraph" w:styleId="Revizija">
    <w:name w:val="Revision"/>
    <w:hidden/>
    <w:uiPriority w:val="99"/>
    <w:semiHidden/>
    <w:rsid w:val="00FE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rsid w:val="00FE7828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FE782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FE78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FE7828"/>
    <w:pPr>
      <w:spacing w:after="0" w:line="240" w:lineRule="auto"/>
      <w:ind w:right="-674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E782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Brojstranice">
    <w:name w:val="page number"/>
    <w:basedOn w:val="Zadanifontodlomka"/>
    <w:rsid w:val="00FE7828"/>
  </w:style>
  <w:style w:type="table" w:styleId="Reetkatablice">
    <w:name w:val="Table Grid"/>
    <w:basedOn w:val="Obinatablica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FE782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E782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E78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FE782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FE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FE782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FE7828"/>
    <w:rPr>
      <w:rFonts w:ascii="Calibri Light" w:eastAsia="Times New Roman" w:hAnsi="Calibri Light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E7828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0C03EE"/>
    <w:rPr>
      <w:b/>
      <w:bCs/>
      <w:i/>
      <w:iCs/>
      <w:color w:val="5B9BD5" w:themeColor="accent1"/>
    </w:rPr>
  </w:style>
  <w:style w:type="paragraph" w:customStyle="1" w:styleId="xmsonormal">
    <w:name w:val="x_msonormal"/>
    <w:basedOn w:val="Normal"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243C8"/>
    <w:rPr>
      <w:b/>
      <w:bCs/>
    </w:rPr>
  </w:style>
  <w:style w:type="table" w:styleId="Obinatablica1">
    <w:name w:val="Plain Table 1"/>
    <w:basedOn w:val="Obinatablica"/>
    <w:uiPriority w:val="41"/>
    <w:rsid w:val="006B4B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semiHidden/>
    <w:unhideWhenUsed/>
    <w:rsid w:val="00D91BB0"/>
    <w:rPr>
      <w:color w:val="0000FF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3E35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qFormat/>
    <w:rsid w:val="002508AA"/>
    <w:rPr>
      <w:rFonts w:cs="Times New Roman"/>
      <w:i/>
      <w:iCs/>
    </w:rPr>
  </w:style>
  <w:style w:type="character" w:customStyle="1" w:styleId="Naslov1Char">
    <w:name w:val="Naslov 1 Char"/>
    <w:basedOn w:val="Zadanifontodlomka"/>
    <w:link w:val="Naslov1"/>
    <w:uiPriority w:val="99"/>
    <w:rsid w:val="002A0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etkatablice1">
    <w:name w:val="Rešetka tablice1"/>
    <w:basedOn w:val="Obinatablica"/>
    <w:next w:val="Reetkatablice"/>
    <w:uiPriority w:val="59"/>
    <w:rsid w:val="0030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rodne-novine.nn.hr/clanci/sluzbeni/2023_07_81_128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7560-86AB-46BC-957F-72C91873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5462</Words>
  <Characters>31139</Characters>
  <Application>Microsoft Office Word</Application>
  <DocSecurity>0</DocSecurity>
  <Lines>259</Lines>
  <Paragraphs>73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Skupina 63 Pomoći iz inozemstva i od subjekata unutar općeg proračuna bilježi ko</vt:lpstr>
      <vt:lpstr/>
    </vt:vector>
  </TitlesOfParts>
  <Company/>
  <LinksUpToDate>false</LinksUpToDate>
  <CharactersWithSpaces>36528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Ruzica</dc:creator>
  <cp:lastModifiedBy>Andreja</cp:lastModifiedBy>
  <cp:revision>4</cp:revision>
  <cp:lastPrinted>2024-11-15T10:59:00Z</cp:lastPrinted>
  <dcterms:created xsi:type="dcterms:W3CDTF">2024-12-27T07:12:00Z</dcterms:created>
  <dcterms:modified xsi:type="dcterms:W3CDTF">2024-12-30T10:13:00Z</dcterms:modified>
</cp:coreProperties>
</file>