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FA2BDA" w14:paraId="73399326" w14:textId="77777777">
        <w:tblPrEx>
          <w:tblCellMar>
            <w:top w:w="0" w:type="dxa"/>
            <w:bottom w:w="0" w:type="dxa"/>
          </w:tblCellMar>
        </w:tblPrEx>
        <w:trPr>
          <w:tblCellSpacing w:w="60" w:type="dxa"/>
        </w:trPr>
        <w:tc>
          <w:tcPr>
            <w:tcW w:w="1200" w:type="pct"/>
            <w:shd w:val="clear" w:color="auto" w:fill="E7F0F9"/>
          </w:tcPr>
          <w:p w14:paraId="744FB48B" w14:textId="77777777" w:rsidR="00FA2BDA" w:rsidRDefault="0061149C">
            <w:pPr>
              <w:spacing w:after="0" w:line="240" w:lineRule="auto"/>
            </w:pPr>
            <w:r>
              <w:rPr>
                <w:b/>
              </w:rPr>
              <w:t>RKP broj</w:t>
            </w:r>
          </w:p>
        </w:tc>
        <w:tc>
          <w:tcPr>
            <w:tcW w:w="0" w:type="auto"/>
            <w:shd w:val="clear" w:color="auto" w:fill="E7F0F9"/>
          </w:tcPr>
          <w:p w14:paraId="30CE3E52" w14:textId="77777777" w:rsidR="00FA2BDA" w:rsidRDefault="0061149C">
            <w:pPr>
              <w:spacing w:after="0" w:line="240" w:lineRule="auto"/>
            </w:pPr>
            <w:r>
              <w:t>8504</w:t>
            </w:r>
          </w:p>
        </w:tc>
      </w:tr>
      <w:tr w:rsidR="00FA2BDA" w14:paraId="211E16A9" w14:textId="77777777">
        <w:tblPrEx>
          <w:tblCellMar>
            <w:top w:w="0" w:type="dxa"/>
            <w:bottom w:w="0" w:type="dxa"/>
          </w:tblCellMar>
        </w:tblPrEx>
        <w:trPr>
          <w:tblCellSpacing w:w="60" w:type="dxa"/>
        </w:trPr>
        <w:tc>
          <w:tcPr>
            <w:tcW w:w="1200" w:type="pct"/>
            <w:shd w:val="clear" w:color="auto" w:fill="E7F0F9"/>
          </w:tcPr>
          <w:p w14:paraId="02CEFDF6" w14:textId="77777777" w:rsidR="00FA2BDA" w:rsidRDefault="0061149C">
            <w:pPr>
              <w:spacing w:after="0" w:line="240" w:lineRule="auto"/>
            </w:pPr>
            <w:r>
              <w:rPr>
                <w:b/>
              </w:rPr>
              <w:t>Naziv obveznika</w:t>
            </w:r>
          </w:p>
        </w:tc>
        <w:tc>
          <w:tcPr>
            <w:tcW w:w="0" w:type="auto"/>
            <w:shd w:val="clear" w:color="auto" w:fill="E7F0F9"/>
          </w:tcPr>
          <w:p w14:paraId="59F1823C" w14:textId="77777777" w:rsidR="00FA2BDA" w:rsidRDefault="0061149C">
            <w:pPr>
              <w:spacing w:after="0" w:line="240" w:lineRule="auto"/>
            </w:pPr>
            <w:r>
              <w:t>O.Š. BRAĆA RADIĆ, KOPRIVNICA</w:t>
            </w:r>
          </w:p>
        </w:tc>
      </w:tr>
      <w:tr w:rsidR="00FA2BDA" w14:paraId="424DE5CE" w14:textId="77777777">
        <w:tblPrEx>
          <w:tblCellMar>
            <w:top w:w="0" w:type="dxa"/>
            <w:bottom w:w="0" w:type="dxa"/>
          </w:tblCellMar>
        </w:tblPrEx>
        <w:trPr>
          <w:tblCellSpacing w:w="60" w:type="dxa"/>
        </w:trPr>
        <w:tc>
          <w:tcPr>
            <w:tcW w:w="1200" w:type="pct"/>
            <w:shd w:val="clear" w:color="auto" w:fill="E7F0F9"/>
          </w:tcPr>
          <w:p w14:paraId="1A581A3A" w14:textId="77777777" w:rsidR="00FA2BDA" w:rsidRDefault="0061149C">
            <w:pPr>
              <w:spacing w:after="0" w:line="240" w:lineRule="auto"/>
            </w:pPr>
            <w:r>
              <w:rPr>
                <w:b/>
              </w:rPr>
              <w:t>Razina</w:t>
            </w:r>
          </w:p>
        </w:tc>
        <w:tc>
          <w:tcPr>
            <w:tcW w:w="0" w:type="auto"/>
            <w:shd w:val="clear" w:color="auto" w:fill="E7F0F9"/>
          </w:tcPr>
          <w:p w14:paraId="40F2EBD3" w14:textId="77777777" w:rsidR="00FA2BDA" w:rsidRDefault="0061149C">
            <w:pPr>
              <w:spacing w:after="0" w:line="240" w:lineRule="auto"/>
            </w:pPr>
            <w:r>
              <w:t>31</w:t>
            </w:r>
          </w:p>
        </w:tc>
      </w:tr>
    </w:tbl>
    <w:p w14:paraId="4175D5BF" w14:textId="77777777" w:rsidR="00FA2BDA" w:rsidRDefault="0061149C">
      <w:r>
        <w:br/>
      </w:r>
    </w:p>
    <w:p w14:paraId="6095C5EB" w14:textId="77777777" w:rsidR="00FA2BDA" w:rsidRDefault="0061149C">
      <w:pPr>
        <w:spacing w:line="240" w:lineRule="auto"/>
        <w:jc w:val="center"/>
      </w:pPr>
      <w:r>
        <w:rPr>
          <w:b/>
          <w:sz w:val="28"/>
        </w:rPr>
        <w:t>BILJEŠKE UZ FINANCIJSKE IZVJEŠTAJE</w:t>
      </w:r>
    </w:p>
    <w:p w14:paraId="6CD6B7C9" w14:textId="77777777" w:rsidR="00FA2BDA" w:rsidRDefault="0061149C">
      <w:pPr>
        <w:spacing w:line="240" w:lineRule="auto"/>
        <w:jc w:val="center"/>
      </w:pPr>
      <w:r>
        <w:rPr>
          <w:b/>
          <w:sz w:val="28"/>
        </w:rPr>
        <w:t>ZA RAZDOBLJE</w:t>
      </w:r>
    </w:p>
    <w:p w14:paraId="04559E0C" w14:textId="77777777" w:rsidR="00FA2BDA" w:rsidRDefault="0061149C">
      <w:pPr>
        <w:spacing w:line="240" w:lineRule="auto"/>
        <w:jc w:val="center"/>
      </w:pPr>
      <w:r>
        <w:rPr>
          <w:b/>
          <w:sz w:val="28"/>
        </w:rPr>
        <w:t>I - VI 2025.</w:t>
      </w:r>
    </w:p>
    <w:p w14:paraId="639CE7EE" w14:textId="77777777" w:rsidR="00FA2BDA" w:rsidRDefault="00FA2BDA"/>
    <w:p w14:paraId="157A90CC" w14:textId="77777777" w:rsidR="00FA2BDA" w:rsidRDefault="0061149C">
      <w:pPr>
        <w:keepNext/>
        <w:spacing w:line="240" w:lineRule="auto"/>
        <w:jc w:val="center"/>
      </w:pPr>
      <w:r>
        <w:rPr>
          <w:b/>
          <w:sz w:val="28"/>
        </w:rPr>
        <w:t>Izvještaj o prihodima i rashodima, primicima i izdacima</w:t>
      </w:r>
    </w:p>
    <w:p w14:paraId="1A1194D7" w14:textId="77777777" w:rsidR="00FA2BDA" w:rsidRDefault="0061149C">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0B5EF7E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F87AE75"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33C9ABF"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7093581"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7565E79"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77312CF"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4A57AA5" w14:textId="77777777" w:rsidR="00FA2BDA" w:rsidRDefault="0061149C">
            <w:pPr>
              <w:keepNext/>
              <w:keepLines/>
              <w:spacing w:after="0" w:line="240" w:lineRule="auto"/>
              <w:jc w:val="center"/>
            </w:pPr>
            <w:r>
              <w:rPr>
                <w:b/>
                <w:sz w:val="18"/>
              </w:rPr>
              <w:t>Indeks (%)</w:t>
            </w:r>
          </w:p>
        </w:tc>
      </w:tr>
      <w:tr w:rsidR="00FA2BDA" w14:paraId="70FA6EA7" w14:textId="77777777">
        <w:tblPrEx>
          <w:tblCellMar>
            <w:top w:w="0" w:type="dxa"/>
            <w:bottom w:w="0" w:type="dxa"/>
          </w:tblCellMar>
        </w:tblPrEx>
        <w:trPr>
          <w:cantSplit/>
          <w:trHeight w:val="560"/>
        </w:trPr>
        <w:tc>
          <w:tcPr>
            <w:tcW w:w="700" w:type="dxa"/>
            <w:tcMar>
              <w:top w:w="0" w:type="dxa"/>
              <w:bottom w:w="0" w:type="dxa"/>
            </w:tcMar>
            <w:vAlign w:val="center"/>
          </w:tcPr>
          <w:p w14:paraId="55599C1B" w14:textId="77777777" w:rsidR="00FA2BDA" w:rsidRDefault="0061149C">
            <w:pPr>
              <w:keepNext/>
              <w:keepLines/>
              <w:spacing w:after="0" w:line="240" w:lineRule="auto"/>
            </w:pPr>
            <w:r>
              <w:rPr>
                <w:sz w:val="18"/>
              </w:rPr>
              <w:t>6</w:t>
            </w:r>
          </w:p>
        </w:tc>
        <w:tc>
          <w:tcPr>
            <w:tcW w:w="3180" w:type="dxa"/>
            <w:tcMar>
              <w:top w:w="0" w:type="dxa"/>
              <w:bottom w:w="0" w:type="dxa"/>
            </w:tcMar>
            <w:vAlign w:val="center"/>
          </w:tcPr>
          <w:p w14:paraId="69C69850" w14:textId="77777777" w:rsidR="00FA2BDA" w:rsidRDefault="0061149C">
            <w:pPr>
              <w:keepNext/>
              <w:keepLines/>
              <w:spacing w:after="0" w:line="240" w:lineRule="auto"/>
            </w:pPr>
            <w:r>
              <w:rPr>
                <w:sz w:val="18"/>
              </w:rPr>
              <w:t>PRIHODI POSLOVANJA (šifre 61+62+63+64+65+66+67+68)</w:t>
            </w:r>
          </w:p>
        </w:tc>
        <w:tc>
          <w:tcPr>
            <w:tcW w:w="700" w:type="dxa"/>
            <w:tcMar>
              <w:top w:w="0" w:type="dxa"/>
              <w:bottom w:w="0" w:type="dxa"/>
            </w:tcMar>
            <w:vAlign w:val="center"/>
          </w:tcPr>
          <w:p w14:paraId="02CE3378" w14:textId="77777777" w:rsidR="00FA2BDA" w:rsidRDefault="0061149C">
            <w:pPr>
              <w:keepNext/>
              <w:keepLines/>
              <w:spacing w:after="0" w:line="240" w:lineRule="auto"/>
            </w:pPr>
            <w:r>
              <w:rPr>
                <w:sz w:val="18"/>
              </w:rPr>
              <w:t>6</w:t>
            </w:r>
          </w:p>
        </w:tc>
        <w:tc>
          <w:tcPr>
            <w:tcW w:w="1860" w:type="dxa"/>
            <w:tcMar>
              <w:top w:w="0" w:type="dxa"/>
              <w:bottom w:w="0" w:type="dxa"/>
            </w:tcMar>
            <w:vAlign w:val="center"/>
          </w:tcPr>
          <w:p w14:paraId="3B99467B" w14:textId="77777777" w:rsidR="00FA2BDA" w:rsidRDefault="0061149C">
            <w:pPr>
              <w:keepNext/>
              <w:keepLines/>
              <w:spacing w:after="0" w:line="240" w:lineRule="auto"/>
              <w:jc w:val="right"/>
            </w:pPr>
            <w:r>
              <w:rPr>
                <w:sz w:val="18"/>
              </w:rPr>
              <w:t>1.580.267,16</w:t>
            </w:r>
          </w:p>
        </w:tc>
        <w:tc>
          <w:tcPr>
            <w:tcW w:w="1860" w:type="dxa"/>
            <w:tcMar>
              <w:top w:w="0" w:type="dxa"/>
              <w:bottom w:w="0" w:type="dxa"/>
            </w:tcMar>
            <w:vAlign w:val="center"/>
          </w:tcPr>
          <w:p w14:paraId="0231A5E5" w14:textId="77777777" w:rsidR="00FA2BDA" w:rsidRDefault="0061149C">
            <w:pPr>
              <w:keepNext/>
              <w:keepLines/>
              <w:spacing w:after="0" w:line="240" w:lineRule="auto"/>
              <w:jc w:val="right"/>
            </w:pPr>
            <w:r>
              <w:rPr>
                <w:sz w:val="18"/>
              </w:rPr>
              <w:t>1.780.328,85</w:t>
            </w:r>
          </w:p>
        </w:tc>
        <w:tc>
          <w:tcPr>
            <w:tcW w:w="700" w:type="dxa"/>
            <w:tcMar>
              <w:top w:w="0" w:type="dxa"/>
              <w:bottom w:w="0" w:type="dxa"/>
            </w:tcMar>
            <w:vAlign w:val="center"/>
          </w:tcPr>
          <w:p w14:paraId="45B5F811" w14:textId="77777777" w:rsidR="00FA2BDA" w:rsidRDefault="0061149C">
            <w:pPr>
              <w:keepNext/>
              <w:keepLines/>
              <w:spacing w:after="0" w:line="240" w:lineRule="auto"/>
              <w:jc w:val="right"/>
            </w:pPr>
            <w:r>
              <w:rPr>
                <w:sz w:val="18"/>
              </w:rPr>
              <w:t>112,7</w:t>
            </w:r>
          </w:p>
        </w:tc>
      </w:tr>
      <w:tr w:rsidR="00FA2BDA" w14:paraId="0FB4B5EB" w14:textId="77777777">
        <w:tblPrEx>
          <w:tblCellMar>
            <w:top w:w="0" w:type="dxa"/>
            <w:bottom w:w="0" w:type="dxa"/>
          </w:tblCellMar>
        </w:tblPrEx>
        <w:trPr>
          <w:cantSplit/>
          <w:trHeight w:val="560"/>
        </w:trPr>
        <w:tc>
          <w:tcPr>
            <w:tcW w:w="700" w:type="dxa"/>
            <w:tcMar>
              <w:top w:w="0" w:type="dxa"/>
              <w:bottom w:w="0" w:type="dxa"/>
            </w:tcMar>
            <w:vAlign w:val="center"/>
          </w:tcPr>
          <w:p w14:paraId="527402A4" w14:textId="77777777" w:rsidR="00FA2BDA" w:rsidRDefault="0061149C">
            <w:pPr>
              <w:keepNext/>
              <w:keepLines/>
              <w:spacing w:after="0" w:line="240" w:lineRule="auto"/>
            </w:pPr>
            <w:r>
              <w:rPr>
                <w:sz w:val="18"/>
              </w:rPr>
              <w:t>3</w:t>
            </w:r>
          </w:p>
        </w:tc>
        <w:tc>
          <w:tcPr>
            <w:tcW w:w="3180" w:type="dxa"/>
            <w:tcMar>
              <w:top w:w="0" w:type="dxa"/>
              <w:bottom w:w="0" w:type="dxa"/>
            </w:tcMar>
            <w:vAlign w:val="center"/>
          </w:tcPr>
          <w:p w14:paraId="47961EBA" w14:textId="77777777" w:rsidR="00FA2BDA" w:rsidRDefault="0061149C">
            <w:pPr>
              <w:keepNext/>
              <w:keepLines/>
              <w:spacing w:after="0" w:line="240" w:lineRule="auto"/>
            </w:pPr>
            <w:r>
              <w:rPr>
                <w:sz w:val="18"/>
              </w:rPr>
              <w:t xml:space="preserve">RASHODI POSLOVANJA (šifre </w:t>
            </w:r>
            <w:r>
              <w:rPr>
                <w:sz w:val="18"/>
              </w:rPr>
              <w:t>31+32+34+35+36+37+38)</w:t>
            </w:r>
          </w:p>
        </w:tc>
        <w:tc>
          <w:tcPr>
            <w:tcW w:w="700" w:type="dxa"/>
            <w:tcMar>
              <w:top w:w="0" w:type="dxa"/>
              <w:bottom w:w="0" w:type="dxa"/>
            </w:tcMar>
            <w:vAlign w:val="center"/>
          </w:tcPr>
          <w:p w14:paraId="6525948B" w14:textId="77777777" w:rsidR="00FA2BDA" w:rsidRDefault="0061149C">
            <w:pPr>
              <w:keepNext/>
              <w:keepLines/>
              <w:spacing w:after="0" w:line="240" w:lineRule="auto"/>
            </w:pPr>
            <w:r>
              <w:rPr>
                <w:sz w:val="18"/>
              </w:rPr>
              <w:t>3</w:t>
            </w:r>
          </w:p>
        </w:tc>
        <w:tc>
          <w:tcPr>
            <w:tcW w:w="1860" w:type="dxa"/>
            <w:tcMar>
              <w:top w:w="0" w:type="dxa"/>
              <w:bottom w:w="0" w:type="dxa"/>
            </w:tcMar>
            <w:vAlign w:val="center"/>
          </w:tcPr>
          <w:p w14:paraId="6DC08391" w14:textId="77777777" w:rsidR="00FA2BDA" w:rsidRDefault="0061149C">
            <w:pPr>
              <w:keepNext/>
              <w:keepLines/>
              <w:spacing w:after="0" w:line="240" w:lineRule="auto"/>
              <w:jc w:val="right"/>
            </w:pPr>
            <w:r>
              <w:rPr>
                <w:sz w:val="18"/>
              </w:rPr>
              <w:t>1.569.632,52</w:t>
            </w:r>
          </w:p>
        </w:tc>
        <w:tc>
          <w:tcPr>
            <w:tcW w:w="1860" w:type="dxa"/>
            <w:tcMar>
              <w:top w:w="0" w:type="dxa"/>
              <w:bottom w:w="0" w:type="dxa"/>
            </w:tcMar>
            <w:vAlign w:val="center"/>
          </w:tcPr>
          <w:p w14:paraId="0D84412C" w14:textId="77777777" w:rsidR="00FA2BDA" w:rsidRDefault="0061149C">
            <w:pPr>
              <w:keepNext/>
              <w:keepLines/>
              <w:spacing w:after="0" w:line="240" w:lineRule="auto"/>
              <w:jc w:val="right"/>
            </w:pPr>
            <w:r>
              <w:rPr>
                <w:sz w:val="18"/>
              </w:rPr>
              <w:t>1.952.743,14</w:t>
            </w:r>
          </w:p>
        </w:tc>
        <w:tc>
          <w:tcPr>
            <w:tcW w:w="700" w:type="dxa"/>
            <w:tcMar>
              <w:top w:w="0" w:type="dxa"/>
              <w:bottom w:w="0" w:type="dxa"/>
            </w:tcMar>
            <w:vAlign w:val="center"/>
          </w:tcPr>
          <w:p w14:paraId="25C4F340" w14:textId="77777777" w:rsidR="00FA2BDA" w:rsidRDefault="0061149C">
            <w:pPr>
              <w:keepNext/>
              <w:keepLines/>
              <w:spacing w:after="0" w:line="240" w:lineRule="auto"/>
              <w:jc w:val="right"/>
            </w:pPr>
            <w:r>
              <w:rPr>
                <w:sz w:val="18"/>
              </w:rPr>
              <w:t>124,4</w:t>
            </w:r>
          </w:p>
        </w:tc>
      </w:tr>
      <w:tr w:rsidR="00FA2BDA" w14:paraId="224BC986" w14:textId="77777777">
        <w:tblPrEx>
          <w:tblCellMar>
            <w:top w:w="0" w:type="dxa"/>
            <w:bottom w:w="0" w:type="dxa"/>
          </w:tblCellMar>
        </w:tblPrEx>
        <w:trPr>
          <w:cantSplit/>
          <w:trHeight w:val="560"/>
        </w:trPr>
        <w:tc>
          <w:tcPr>
            <w:tcW w:w="700" w:type="dxa"/>
            <w:tcMar>
              <w:top w:w="0" w:type="dxa"/>
              <w:bottom w:w="0" w:type="dxa"/>
            </w:tcMar>
            <w:vAlign w:val="center"/>
          </w:tcPr>
          <w:p w14:paraId="22B3BFC8" w14:textId="77777777" w:rsidR="00FA2BDA" w:rsidRDefault="00FA2BDA">
            <w:pPr>
              <w:keepNext/>
              <w:keepLines/>
              <w:spacing w:after="0" w:line="240" w:lineRule="auto"/>
            </w:pPr>
          </w:p>
        </w:tc>
        <w:tc>
          <w:tcPr>
            <w:tcW w:w="3180" w:type="dxa"/>
            <w:tcMar>
              <w:top w:w="0" w:type="dxa"/>
              <w:bottom w:w="0" w:type="dxa"/>
            </w:tcMar>
            <w:vAlign w:val="center"/>
          </w:tcPr>
          <w:p w14:paraId="64D1131A" w14:textId="77777777" w:rsidR="00FA2BDA" w:rsidRDefault="0061149C">
            <w:pPr>
              <w:keepNext/>
              <w:keepLines/>
              <w:spacing w:after="0" w:line="240" w:lineRule="auto"/>
            </w:pPr>
            <w:r>
              <w:rPr>
                <w:b/>
                <w:sz w:val="18"/>
              </w:rPr>
              <w:t>MANJAK PRIHODA POSLOVANJA (šifre Z005-6)</w:t>
            </w:r>
          </w:p>
        </w:tc>
        <w:tc>
          <w:tcPr>
            <w:tcW w:w="700" w:type="dxa"/>
            <w:tcMar>
              <w:top w:w="0" w:type="dxa"/>
              <w:bottom w:w="0" w:type="dxa"/>
            </w:tcMar>
            <w:vAlign w:val="center"/>
          </w:tcPr>
          <w:p w14:paraId="43D6B62B" w14:textId="77777777" w:rsidR="00FA2BDA" w:rsidRDefault="0061149C">
            <w:pPr>
              <w:keepNext/>
              <w:keepLines/>
              <w:spacing w:after="0" w:line="240" w:lineRule="auto"/>
            </w:pPr>
            <w:r>
              <w:rPr>
                <w:b/>
                <w:sz w:val="18"/>
              </w:rPr>
              <w:t>Y001</w:t>
            </w:r>
          </w:p>
        </w:tc>
        <w:tc>
          <w:tcPr>
            <w:tcW w:w="1860" w:type="dxa"/>
            <w:tcMar>
              <w:top w:w="0" w:type="dxa"/>
              <w:bottom w:w="0" w:type="dxa"/>
            </w:tcMar>
            <w:vAlign w:val="center"/>
          </w:tcPr>
          <w:p w14:paraId="1F1774C7" w14:textId="77777777" w:rsidR="00FA2BDA" w:rsidRDefault="0061149C">
            <w:pPr>
              <w:keepNext/>
              <w:keepLines/>
              <w:spacing w:after="0" w:line="240" w:lineRule="auto"/>
              <w:jc w:val="right"/>
            </w:pPr>
            <w:r>
              <w:rPr>
                <w:b/>
                <w:sz w:val="18"/>
              </w:rPr>
              <w:t>0,00</w:t>
            </w:r>
          </w:p>
        </w:tc>
        <w:tc>
          <w:tcPr>
            <w:tcW w:w="1860" w:type="dxa"/>
            <w:tcMar>
              <w:top w:w="0" w:type="dxa"/>
              <w:bottom w:w="0" w:type="dxa"/>
            </w:tcMar>
            <w:vAlign w:val="center"/>
          </w:tcPr>
          <w:p w14:paraId="61E7B202" w14:textId="77777777" w:rsidR="00FA2BDA" w:rsidRDefault="0061149C">
            <w:pPr>
              <w:keepNext/>
              <w:keepLines/>
              <w:spacing w:after="0" w:line="240" w:lineRule="auto"/>
              <w:jc w:val="right"/>
            </w:pPr>
            <w:r>
              <w:rPr>
                <w:b/>
                <w:sz w:val="18"/>
              </w:rPr>
              <w:t>172.414,29</w:t>
            </w:r>
          </w:p>
        </w:tc>
        <w:tc>
          <w:tcPr>
            <w:tcW w:w="700" w:type="dxa"/>
            <w:tcMar>
              <w:top w:w="0" w:type="dxa"/>
              <w:bottom w:w="0" w:type="dxa"/>
            </w:tcMar>
            <w:vAlign w:val="center"/>
          </w:tcPr>
          <w:p w14:paraId="10A4EE04" w14:textId="77777777" w:rsidR="00FA2BDA" w:rsidRDefault="0061149C">
            <w:pPr>
              <w:keepNext/>
              <w:keepLines/>
              <w:spacing w:after="0" w:line="240" w:lineRule="auto"/>
              <w:jc w:val="right"/>
            </w:pPr>
            <w:r>
              <w:rPr>
                <w:b/>
                <w:sz w:val="18"/>
              </w:rPr>
              <w:t>-</w:t>
            </w:r>
          </w:p>
        </w:tc>
      </w:tr>
      <w:tr w:rsidR="00FA2BDA" w14:paraId="6DB20E29" w14:textId="77777777">
        <w:tblPrEx>
          <w:tblCellMar>
            <w:top w:w="0" w:type="dxa"/>
            <w:bottom w:w="0" w:type="dxa"/>
          </w:tblCellMar>
        </w:tblPrEx>
        <w:trPr>
          <w:cantSplit/>
          <w:trHeight w:val="560"/>
        </w:trPr>
        <w:tc>
          <w:tcPr>
            <w:tcW w:w="700" w:type="dxa"/>
            <w:tcMar>
              <w:top w:w="0" w:type="dxa"/>
              <w:bottom w:w="0" w:type="dxa"/>
            </w:tcMar>
            <w:vAlign w:val="center"/>
          </w:tcPr>
          <w:p w14:paraId="507EEAC0" w14:textId="77777777" w:rsidR="00FA2BDA" w:rsidRDefault="0061149C">
            <w:pPr>
              <w:keepNext/>
              <w:keepLines/>
              <w:spacing w:after="0" w:line="240" w:lineRule="auto"/>
            </w:pPr>
            <w:r>
              <w:rPr>
                <w:sz w:val="18"/>
              </w:rPr>
              <w:t>7</w:t>
            </w:r>
          </w:p>
        </w:tc>
        <w:tc>
          <w:tcPr>
            <w:tcW w:w="3180" w:type="dxa"/>
            <w:tcMar>
              <w:top w:w="0" w:type="dxa"/>
              <w:bottom w:w="0" w:type="dxa"/>
            </w:tcMar>
            <w:vAlign w:val="center"/>
          </w:tcPr>
          <w:p w14:paraId="3000B61F" w14:textId="77777777" w:rsidR="00FA2BDA" w:rsidRDefault="0061149C">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26578C18" w14:textId="77777777" w:rsidR="00FA2BDA" w:rsidRDefault="0061149C">
            <w:pPr>
              <w:keepNext/>
              <w:keepLines/>
              <w:spacing w:after="0" w:line="240" w:lineRule="auto"/>
            </w:pPr>
            <w:r>
              <w:rPr>
                <w:sz w:val="18"/>
              </w:rPr>
              <w:t>7</w:t>
            </w:r>
          </w:p>
        </w:tc>
        <w:tc>
          <w:tcPr>
            <w:tcW w:w="1860" w:type="dxa"/>
            <w:tcMar>
              <w:top w:w="0" w:type="dxa"/>
              <w:bottom w:w="0" w:type="dxa"/>
            </w:tcMar>
            <w:vAlign w:val="center"/>
          </w:tcPr>
          <w:p w14:paraId="07A63D7A" w14:textId="77777777" w:rsidR="00FA2BDA" w:rsidRDefault="0061149C">
            <w:pPr>
              <w:keepNext/>
              <w:keepLines/>
              <w:spacing w:after="0" w:line="240" w:lineRule="auto"/>
              <w:jc w:val="right"/>
            </w:pPr>
            <w:r>
              <w:rPr>
                <w:sz w:val="18"/>
              </w:rPr>
              <w:t>0,00</w:t>
            </w:r>
          </w:p>
        </w:tc>
        <w:tc>
          <w:tcPr>
            <w:tcW w:w="1860" w:type="dxa"/>
            <w:tcMar>
              <w:top w:w="0" w:type="dxa"/>
              <w:bottom w:w="0" w:type="dxa"/>
            </w:tcMar>
            <w:vAlign w:val="center"/>
          </w:tcPr>
          <w:p w14:paraId="0F91331C" w14:textId="77777777" w:rsidR="00FA2BDA" w:rsidRDefault="0061149C">
            <w:pPr>
              <w:keepNext/>
              <w:keepLines/>
              <w:spacing w:after="0" w:line="240" w:lineRule="auto"/>
              <w:jc w:val="right"/>
            </w:pPr>
            <w:r>
              <w:rPr>
                <w:sz w:val="18"/>
              </w:rPr>
              <w:t>0,00</w:t>
            </w:r>
          </w:p>
        </w:tc>
        <w:tc>
          <w:tcPr>
            <w:tcW w:w="700" w:type="dxa"/>
            <w:tcMar>
              <w:top w:w="0" w:type="dxa"/>
              <w:bottom w:w="0" w:type="dxa"/>
            </w:tcMar>
            <w:vAlign w:val="center"/>
          </w:tcPr>
          <w:p w14:paraId="50627F14" w14:textId="77777777" w:rsidR="00FA2BDA" w:rsidRDefault="0061149C">
            <w:pPr>
              <w:keepNext/>
              <w:keepLines/>
              <w:spacing w:after="0" w:line="240" w:lineRule="auto"/>
              <w:jc w:val="right"/>
            </w:pPr>
            <w:r>
              <w:rPr>
                <w:sz w:val="18"/>
              </w:rPr>
              <w:t>-</w:t>
            </w:r>
          </w:p>
        </w:tc>
      </w:tr>
      <w:tr w:rsidR="00FA2BDA" w14:paraId="18FE3E00" w14:textId="77777777">
        <w:tblPrEx>
          <w:tblCellMar>
            <w:top w:w="0" w:type="dxa"/>
            <w:bottom w:w="0" w:type="dxa"/>
          </w:tblCellMar>
        </w:tblPrEx>
        <w:trPr>
          <w:cantSplit/>
          <w:trHeight w:val="560"/>
        </w:trPr>
        <w:tc>
          <w:tcPr>
            <w:tcW w:w="700" w:type="dxa"/>
            <w:tcMar>
              <w:top w:w="0" w:type="dxa"/>
              <w:bottom w:w="0" w:type="dxa"/>
            </w:tcMar>
            <w:vAlign w:val="center"/>
          </w:tcPr>
          <w:p w14:paraId="62D62A50" w14:textId="77777777" w:rsidR="00FA2BDA" w:rsidRDefault="0061149C">
            <w:pPr>
              <w:keepNext/>
              <w:keepLines/>
              <w:spacing w:after="0" w:line="240" w:lineRule="auto"/>
            </w:pPr>
            <w:r>
              <w:rPr>
                <w:sz w:val="18"/>
              </w:rPr>
              <w:t>4</w:t>
            </w:r>
          </w:p>
        </w:tc>
        <w:tc>
          <w:tcPr>
            <w:tcW w:w="3180" w:type="dxa"/>
            <w:tcMar>
              <w:top w:w="0" w:type="dxa"/>
              <w:bottom w:w="0" w:type="dxa"/>
            </w:tcMar>
            <w:vAlign w:val="center"/>
          </w:tcPr>
          <w:p w14:paraId="4D221CCC" w14:textId="77777777" w:rsidR="00FA2BDA" w:rsidRDefault="0061149C">
            <w:pPr>
              <w:keepNext/>
              <w:keepLines/>
              <w:spacing w:after="0" w:line="240" w:lineRule="auto"/>
            </w:pPr>
            <w:r>
              <w:rPr>
                <w:sz w:val="18"/>
              </w:rPr>
              <w:t xml:space="preserve">Rashodi za nabavu nefinancijske imovine (šifre </w:t>
            </w:r>
            <w:r>
              <w:rPr>
                <w:sz w:val="18"/>
              </w:rPr>
              <w:t>41+42+43+44+45)</w:t>
            </w:r>
          </w:p>
        </w:tc>
        <w:tc>
          <w:tcPr>
            <w:tcW w:w="700" w:type="dxa"/>
            <w:tcMar>
              <w:top w:w="0" w:type="dxa"/>
              <w:bottom w:w="0" w:type="dxa"/>
            </w:tcMar>
            <w:vAlign w:val="center"/>
          </w:tcPr>
          <w:p w14:paraId="30B7A0DE" w14:textId="77777777" w:rsidR="00FA2BDA" w:rsidRDefault="0061149C">
            <w:pPr>
              <w:keepNext/>
              <w:keepLines/>
              <w:spacing w:after="0" w:line="240" w:lineRule="auto"/>
            </w:pPr>
            <w:r>
              <w:rPr>
                <w:sz w:val="18"/>
              </w:rPr>
              <w:t>4</w:t>
            </w:r>
          </w:p>
        </w:tc>
        <w:tc>
          <w:tcPr>
            <w:tcW w:w="1860" w:type="dxa"/>
            <w:tcMar>
              <w:top w:w="0" w:type="dxa"/>
              <w:bottom w:w="0" w:type="dxa"/>
            </w:tcMar>
            <w:vAlign w:val="center"/>
          </w:tcPr>
          <w:p w14:paraId="0FA32790" w14:textId="77777777" w:rsidR="00FA2BDA" w:rsidRDefault="0061149C">
            <w:pPr>
              <w:keepNext/>
              <w:keepLines/>
              <w:spacing w:after="0" w:line="240" w:lineRule="auto"/>
              <w:jc w:val="right"/>
            </w:pPr>
            <w:r>
              <w:rPr>
                <w:sz w:val="18"/>
              </w:rPr>
              <w:t>11.617,49</w:t>
            </w:r>
          </w:p>
        </w:tc>
        <w:tc>
          <w:tcPr>
            <w:tcW w:w="1860" w:type="dxa"/>
            <w:tcMar>
              <w:top w:w="0" w:type="dxa"/>
              <w:bottom w:w="0" w:type="dxa"/>
            </w:tcMar>
            <w:vAlign w:val="center"/>
          </w:tcPr>
          <w:p w14:paraId="01317AA9" w14:textId="77777777" w:rsidR="00FA2BDA" w:rsidRDefault="0061149C">
            <w:pPr>
              <w:keepNext/>
              <w:keepLines/>
              <w:spacing w:after="0" w:line="240" w:lineRule="auto"/>
              <w:jc w:val="right"/>
            </w:pPr>
            <w:r>
              <w:rPr>
                <w:sz w:val="18"/>
              </w:rPr>
              <w:t>3.417,46</w:t>
            </w:r>
          </w:p>
        </w:tc>
        <w:tc>
          <w:tcPr>
            <w:tcW w:w="700" w:type="dxa"/>
            <w:tcMar>
              <w:top w:w="0" w:type="dxa"/>
              <w:bottom w:w="0" w:type="dxa"/>
            </w:tcMar>
            <w:vAlign w:val="center"/>
          </w:tcPr>
          <w:p w14:paraId="623B5379" w14:textId="77777777" w:rsidR="00FA2BDA" w:rsidRDefault="0061149C">
            <w:pPr>
              <w:keepNext/>
              <w:keepLines/>
              <w:spacing w:after="0" w:line="240" w:lineRule="auto"/>
              <w:jc w:val="right"/>
            </w:pPr>
            <w:r>
              <w:rPr>
                <w:sz w:val="18"/>
              </w:rPr>
              <w:t>29,4</w:t>
            </w:r>
          </w:p>
        </w:tc>
      </w:tr>
      <w:tr w:rsidR="00FA2BDA" w14:paraId="6AC7DE3A" w14:textId="77777777">
        <w:tblPrEx>
          <w:tblCellMar>
            <w:top w:w="0" w:type="dxa"/>
            <w:bottom w:w="0" w:type="dxa"/>
          </w:tblCellMar>
        </w:tblPrEx>
        <w:trPr>
          <w:cantSplit/>
          <w:trHeight w:val="560"/>
        </w:trPr>
        <w:tc>
          <w:tcPr>
            <w:tcW w:w="700" w:type="dxa"/>
            <w:tcMar>
              <w:top w:w="0" w:type="dxa"/>
              <w:bottom w:w="0" w:type="dxa"/>
            </w:tcMar>
            <w:vAlign w:val="center"/>
          </w:tcPr>
          <w:p w14:paraId="6C9D3A4C" w14:textId="77777777" w:rsidR="00FA2BDA" w:rsidRDefault="00FA2BDA">
            <w:pPr>
              <w:keepNext/>
              <w:keepLines/>
              <w:spacing w:after="0" w:line="240" w:lineRule="auto"/>
            </w:pPr>
          </w:p>
        </w:tc>
        <w:tc>
          <w:tcPr>
            <w:tcW w:w="3180" w:type="dxa"/>
            <w:tcMar>
              <w:top w:w="0" w:type="dxa"/>
              <w:bottom w:w="0" w:type="dxa"/>
            </w:tcMar>
            <w:vAlign w:val="center"/>
          </w:tcPr>
          <w:p w14:paraId="66D26D91" w14:textId="77777777" w:rsidR="00FA2BDA" w:rsidRDefault="0061149C">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31C24C89" w14:textId="77777777" w:rsidR="00FA2BDA" w:rsidRDefault="0061149C">
            <w:pPr>
              <w:keepNext/>
              <w:keepLines/>
              <w:spacing w:after="0" w:line="240" w:lineRule="auto"/>
            </w:pPr>
            <w:r>
              <w:rPr>
                <w:b/>
                <w:sz w:val="18"/>
              </w:rPr>
              <w:t>Y002</w:t>
            </w:r>
          </w:p>
        </w:tc>
        <w:tc>
          <w:tcPr>
            <w:tcW w:w="1860" w:type="dxa"/>
            <w:tcMar>
              <w:top w:w="0" w:type="dxa"/>
              <w:bottom w:w="0" w:type="dxa"/>
            </w:tcMar>
            <w:vAlign w:val="center"/>
          </w:tcPr>
          <w:p w14:paraId="05FEFD17" w14:textId="77777777" w:rsidR="00FA2BDA" w:rsidRDefault="0061149C">
            <w:pPr>
              <w:keepNext/>
              <w:keepLines/>
              <w:spacing w:after="0" w:line="240" w:lineRule="auto"/>
              <w:jc w:val="right"/>
            </w:pPr>
            <w:r>
              <w:rPr>
                <w:b/>
                <w:sz w:val="18"/>
              </w:rPr>
              <w:t>11.617,49</w:t>
            </w:r>
          </w:p>
        </w:tc>
        <w:tc>
          <w:tcPr>
            <w:tcW w:w="1860" w:type="dxa"/>
            <w:tcMar>
              <w:top w:w="0" w:type="dxa"/>
              <w:bottom w:w="0" w:type="dxa"/>
            </w:tcMar>
            <w:vAlign w:val="center"/>
          </w:tcPr>
          <w:p w14:paraId="223FFC40" w14:textId="77777777" w:rsidR="00FA2BDA" w:rsidRDefault="0061149C">
            <w:pPr>
              <w:keepNext/>
              <w:keepLines/>
              <w:spacing w:after="0" w:line="240" w:lineRule="auto"/>
              <w:jc w:val="right"/>
            </w:pPr>
            <w:r>
              <w:rPr>
                <w:b/>
                <w:sz w:val="18"/>
              </w:rPr>
              <w:t>3.417,46</w:t>
            </w:r>
          </w:p>
        </w:tc>
        <w:tc>
          <w:tcPr>
            <w:tcW w:w="700" w:type="dxa"/>
            <w:tcMar>
              <w:top w:w="0" w:type="dxa"/>
              <w:bottom w:w="0" w:type="dxa"/>
            </w:tcMar>
            <w:vAlign w:val="center"/>
          </w:tcPr>
          <w:p w14:paraId="0BBCF321" w14:textId="77777777" w:rsidR="00FA2BDA" w:rsidRDefault="0061149C">
            <w:pPr>
              <w:keepNext/>
              <w:keepLines/>
              <w:spacing w:after="0" w:line="240" w:lineRule="auto"/>
              <w:jc w:val="right"/>
            </w:pPr>
            <w:r>
              <w:rPr>
                <w:b/>
                <w:sz w:val="18"/>
              </w:rPr>
              <w:t>29,4</w:t>
            </w:r>
          </w:p>
        </w:tc>
      </w:tr>
      <w:tr w:rsidR="00FA2BDA" w14:paraId="632CF4C7" w14:textId="77777777">
        <w:tblPrEx>
          <w:tblCellMar>
            <w:top w:w="0" w:type="dxa"/>
            <w:bottom w:w="0" w:type="dxa"/>
          </w:tblCellMar>
        </w:tblPrEx>
        <w:trPr>
          <w:cantSplit/>
          <w:trHeight w:val="560"/>
        </w:trPr>
        <w:tc>
          <w:tcPr>
            <w:tcW w:w="700" w:type="dxa"/>
            <w:tcMar>
              <w:top w:w="0" w:type="dxa"/>
              <w:bottom w:w="0" w:type="dxa"/>
            </w:tcMar>
            <w:vAlign w:val="center"/>
          </w:tcPr>
          <w:p w14:paraId="10A53B7A" w14:textId="77777777" w:rsidR="00FA2BDA" w:rsidRDefault="0061149C">
            <w:pPr>
              <w:keepNext/>
              <w:keepLines/>
              <w:spacing w:after="0" w:line="240" w:lineRule="auto"/>
            </w:pPr>
            <w:r>
              <w:rPr>
                <w:sz w:val="18"/>
              </w:rPr>
              <w:t>8</w:t>
            </w:r>
          </w:p>
        </w:tc>
        <w:tc>
          <w:tcPr>
            <w:tcW w:w="3180" w:type="dxa"/>
            <w:tcMar>
              <w:top w:w="0" w:type="dxa"/>
              <w:bottom w:w="0" w:type="dxa"/>
            </w:tcMar>
            <w:vAlign w:val="center"/>
          </w:tcPr>
          <w:p w14:paraId="2DE77A15" w14:textId="77777777" w:rsidR="00FA2BDA" w:rsidRDefault="0061149C">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24434B67" w14:textId="77777777" w:rsidR="00FA2BDA" w:rsidRDefault="0061149C">
            <w:pPr>
              <w:keepNext/>
              <w:keepLines/>
              <w:spacing w:after="0" w:line="240" w:lineRule="auto"/>
            </w:pPr>
            <w:r>
              <w:rPr>
                <w:sz w:val="18"/>
              </w:rPr>
              <w:t>8</w:t>
            </w:r>
          </w:p>
        </w:tc>
        <w:tc>
          <w:tcPr>
            <w:tcW w:w="1860" w:type="dxa"/>
            <w:tcMar>
              <w:top w:w="0" w:type="dxa"/>
              <w:bottom w:w="0" w:type="dxa"/>
            </w:tcMar>
            <w:vAlign w:val="center"/>
          </w:tcPr>
          <w:p w14:paraId="44B064BE" w14:textId="77777777" w:rsidR="00FA2BDA" w:rsidRDefault="0061149C">
            <w:pPr>
              <w:keepNext/>
              <w:keepLines/>
              <w:spacing w:after="0" w:line="240" w:lineRule="auto"/>
              <w:jc w:val="right"/>
            </w:pPr>
            <w:r>
              <w:rPr>
                <w:sz w:val="18"/>
              </w:rPr>
              <w:t>0,00</w:t>
            </w:r>
          </w:p>
        </w:tc>
        <w:tc>
          <w:tcPr>
            <w:tcW w:w="1860" w:type="dxa"/>
            <w:tcMar>
              <w:top w:w="0" w:type="dxa"/>
              <w:bottom w:w="0" w:type="dxa"/>
            </w:tcMar>
            <w:vAlign w:val="center"/>
          </w:tcPr>
          <w:p w14:paraId="3E159AF3" w14:textId="77777777" w:rsidR="00FA2BDA" w:rsidRDefault="0061149C">
            <w:pPr>
              <w:keepNext/>
              <w:keepLines/>
              <w:spacing w:after="0" w:line="240" w:lineRule="auto"/>
              <w:jc w:val="right"/>
            </w:pPr>
            <w:r>
              <w:rPr>
                <w:sz w:val="18"/>
              </w:rPr>
              <w:t>0,00</w:t>
            </w:r>
          </w:p>
        </w:tc>
        <w:tc>
          <w:tcPr>
            <w:tcW w:w="700" w:type="dxa"/>
            <w:tcMar>
              <w:top w:w="0" w:type="dxa"/>
              <w:bottom w:w="0" w:type="dxa"/>
            </w:tcMar>
            <w:vAlign w:val="center"/>
          </w:tcPr>
          <w:p w14:paraId="5DE63285" w14:textId="77777777" w:rsidR="00FA2BDA" w:rsidRDefault="0061149C">
            <w:pPr>
              <w:keepNext/>
              <w:keepLines/>
              <w:spacing w:after="0" w:line="240" w:lineRule="auto"/>
              <w:jc w:val="right"/>
            </w:pPr>
            <w:r>
              <w:rPr>
                <w:sz w:val="18"/>
              </w:rPr>
              <w:t>-</w:t>
            </w:r>
          </w:p>
        </w:tc>
      </w:tr>
      <w:tr w:rsidR="00FA2BDA" w14:paraId="1A7F0700" w14:textId="77777777">
        <w:tblPrEx>
          <w:tblCellMar>
            <w:top w:w="0" w:type="dxa"/>
            <w:bottom w:w="0" w:type="dxa"/>
          </w:tblCellMar>
        </w:tblPrEx>
        <w:trPr>
          <w:cantSplit/>
          <w:trHeight w:val="560"/>
        </w:trPr>
        <w:tc>
          <w:tcPr>
            <w:tcW w:w="700" w:type="dxa"/>
            <w:tcMar>
              <w:top w:w="0" w:type="dxa"/>
              <w:bottom w:w="0" w:type="dxa"/>
            </w:tcMar>
            <w:vAlign w:val="center"/>
          </w:tcPr>
          <w:p w14:paraId="4EB755AD" w14:textId="77777777" w:rsidR="00FA2BDA" w:rsidRDefault="0061149C">
            <w:pPr>
              <w:keepNext/>
              <w:keepLines/>
              <w:spacing w:after="0" w:line="240" w:lineRule="auto"/>
            </w:pPr>
            <w:r>
              <w:rPr>
                <w:sz w:val="18"/>
              </w:rPr>
              <w:t>5</w:t>
            </w:r>
          </w:p>
        </w:tc>
        <w:tc>
          <w:tcPr>
            <w:tcW w:w="3180" w:type="dxa"/>
            <w:tcMar>
              <w:top w:w="0" w:type="dxa"/>
              <w:bottom w:w="0" w:type="dxa"/>
            </w:tcMar>
            <w:vAlign w:val="center"/>
          </w:tcPr>
          <w:p w14:paraId="6A5EB073" w14:textId="77777777" w:rsidR="00FA2BDA" w:rsidRDefault="0061149C">
            <w:pPr>
              <w:keepNext/>
              <w:keepLines/>
              <w:spacing w:after="0" w:line="240" w:lineRule="auto"/>
            </w:pPr>
            <w:r>
              <w:rPr>
                <w:sz w:val="18"/>
              </w:rPr>
              <w:t xml:space="preserve">Izdaci za financijsku imovinu i </w:t>
            </w:r>
            <w:r>
              <w:rPr>
                <w:sz w:val="18"/>
              </w:rPr>
              <w:t>otplate zajmova (šifre 51+52+53+54+55)</w:t>
            </w:r>
          </w:p>
        </w:tc>
        <w:tc>
          <w:tcPr>
            <w:tcW w:w="700" w:type="dxa"/>
            <w:tcMar>
              <w:top w:w="0" w:type="dxa"/>
              <w:bottom w:w="0" w:type="dxa"/>
            </w:tcMar>
            <w:vAlign w:val="center"/>
          </w:tcPr>
          <w:p w14:paraId="4DA42D7A" w14:textId="77777777" w:rsidR="00FA2BDA" w:rsidRDefault="0061149C">
            <w:pPr>
              <w:keepNext/>
              <w:keepLines/>
              <w:spacing w:after="0" w:line="240" w:lineRule="auto"/>
            </w:pPr>
            <w:r>
              <w:rPr>
                <w:sz w:val="18"/>
              </w:rPr>
              <w:t>5</w:t>
            </w:r>
          </w:p>
        </w:tc>
        <w:tc>
          <w:tcPr>
            <w:tcW w:w="1860" w:type="dxa"/>
            <w:tcMar>
              <w:top w:w="0" w:type="dxa"/>
              <w:bottom w:w="0" w:type="dxa"/>
            </w:tcMar>
            <w:vAlign w:val="center"/>
          </w:tcPr>
          <w:p w14:paraId="2E718B45" w14:textId="77777777" w:rsidR="00FA2BDA" w:rsidRDefault="0061149C">
            <w:pPr>
              <w:keepNext/>
              <w:keepLines/>
              <w:spacing w:after="0" w:line="240" w:lineRule="auto"/>
              <w:jc w:val="right"/>
            </w:pPr>
            <w:r>
              <w:rPr>
                <w:sz w:val="18"/>
              </w:rPr>
              <w:t>0,00</w:t>
            </w:r>
          </w:p>
        </w:tc>
        <w:tc>
          <w:tcPr>
            <w:tcW w:w="1860" w:type="dxa"/>
            <w:tcMar>
              <w:top w:w="0" w:type="dxa"/>
              <w:bottom w:w="0" w:type="dxa"/>
            </w:tcMar>
            <w:vAlign w:val="center"/>
          </w:tcPr>
          <w:p w14:paraId="54F8A9C3" w14:textId="77777777" w:rsidR="00FA2BDA" w:rsidRDefault="0061149C">
            <w:pPr>
              <w:keepNext/>
              <w:keepLines/>
              <w:spacing w:after="0" w:line="240" w:lineRule="auto"/>
              <w:jc w:val="right"/>
            </w:pPr>
            <w:r>
              <w:rPr>
                <w:sz w:val="18"/>
              </w:rPr>
              <w:t>0,00</w:t>
            </w:r>
          </w:p>
        </w:tc>
        <w:tc>
          <w:tcPr>
            <w:tcW w:w="700" w:type="dxa"/>
            <w:tcMar>
              <w:top w:w="0" w:type="dxa"/>
              <w:bottom w:w="0" w:type="dxa"/>
            </w:tcMar>
            <w:vAlign w:val="center"/>
          </w:tcPr>
          <w:p w14:paraId="6295738E" w14:textId="77777777" w:rsidR="00FA2BDA" w:rsidRDefault="0061149C">
            <w:pPr>
              <w:keepNext/>
              <w:keepLines/>
              <w:spacing w:after="0" w:line="240" w:lineRule="auto"/>
              <w:jc w:val="right"/>
            </w:pPr>
            <w:r>
              <w:rPr>
                <w:sz w:val="18"/>
              </w:rPr>
              <w:t>-</w:t>
            </w:r>
          </w:p>
        </w:tc>
      </w:tr>
      <w:tr w:rsidR="00FA2BDA" w14:paraId="6AD4E3DD" w14:textId="77777777">
        <w:tblPrEx>
          <w:tblCellMar>
            <w:top w:w="0" w:type="dxa"/>
            <w:bottom w:w="0" w:type="dxa"/>
          </w:tblCellMar>
        </w:tblPrEx>
        <w:trPr>
          <w:cantSplit/>
          <w:trHeight w:val="560"/>
        </w:trPr>
        <w:tc>
          <w:tcPr>
            <w:tcW w:w="700" w:type="dxa"/>
            <w:tcMar>
              <w:top w:w="0" w:type="dxa"/>
              <w:bottom w:w="0" w:type="dxa"/>
            </w:tcMar>
            <w:vAlign w:val="center"/>
          </w:tcPr>
          <w:p w14:paraId="163C3A82" w14:textId="77777777" w:rsidR="00FA2BDA" w:rsidRDefault="00FA2BDA">
            <w:pPr>
              <w:keepNext/>
              <w:keepLines/>
              <w:spacing w:after="0" w:line="240" w:lineRule="auto"/>
            </w:pPr>
          </w:p>
        </w:tc>
        <w:tc>
          <w:tcPr>
            <w:tcW w:w="3180" w:type="dxa"/>
            <w:tcMar>
              <w:top w:w="0" w:type="dxa"/>
              <w:bottom w:w="0" w:type="dxa"/>
            </w:tcMar>
            <w:vAlign w:val="center"/>
          </w:tcPr>
          <w:p w14:paraId="1F9D46D9" w14:textId="77777777" w:rsidR="00FA2BDA" w:rsidRDefault="0061149C">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6FB3C075" w14:textId="77777777" w:rsidR="00FA2BDA" w:rsidRDefault="0061149C">
            <w:pPr>
              <w:keepNext/>
              <w:keepLines/>
              <w:spacing w:after="0" w:line="240" w:lineRule="auto"/>
            </w:pPr>
            <w:r>
              <w:rPr>
                <w:b/>
                <w:sz w:val="18"/>
              </w:rPr>
              <w:t>X003, Y003</w:t>
            </w:r>
          </w:p>
        </w:tc>
        <w:tc>
          <w:tcPr>
            <w:tcW w:w="1860" w:type="dxa"/>
            <w:tcMar>
              <w:top w:w="0" w:type="dxa"/>
              <w:bottom w:w="0" w:type="dxa"/>
            </w:tcMar>
            <w:vAlign w:val="center"/>
          </w:tcPr>
          <w:p w14:paraId="5DEB293C" w14:textId="77777777" w:rsidR="00FA2BDA" w:rsidRDefault="0061149C">
            <w:pPr>
              <w:keepNext/>
              <w:keepLines/>
              <w:spacing w:after="0" w:line="240" w:lineRule="auto"/>
              <w:jc w:val="right"/>
            </w:pPr>
            <w:r>
              <w:rPr>
                <w:b/>
                <w:sz w:val="18"/>
              </w:rPr>
              <w:t>0,00</w:t>
            </w:r>
          </w:p>
        </w:tc>
        <w:tc>
          <w:tcPr>
            <w:tcW w:w="1860" w:type="dxa"/>
            <w:tcMar>
              <w:top w:w="0" w:type="dxa"/>
              <w:bottom w:w="0" w:type="dxa"/>
            </w:tcMar>
            <w:vAlign w:val="center"/>
          </w:tcPr>
          <w:p w14:paraId="2199CFD2" w14:textId="77777777" w:rsidR="00FA2BDA" w:rsidRDefault="0061149C">
            <w:pPr>
              <w:keepNext/>
              <w:keepLines/>
              <w:spacing w:after="0" w:line="240" w:lineRule="auto"/>
              <w:jc w:val="right"/>
            </w:pPr>
            <w:r>
              <w:rPr>
                <w:b/>
                <w:sz w:val="18"/>
              </w:rPr>
              <w:t>0,00</w:t>
            </w:r>
          </w:p>
        </w:tc>
        <w:tc>
          <w:tcPr>
            <w:tcW w:w="700" w:type="dxa"/>
            <w:tcMar>
              <w:top w:w="0" w:type="dxa"/>
              <w:bottom w:w="0" w:type="dxa"/>
            </w:tcMar>
            <w:vAlign w:val="center"/>
          </w:tcPr>
          <w:p w14:paraId="24C669C8" w14:textId="77777777" w:rsidR="00FA2BDA" w:rsidRDefault="0061149C">
            <w:pPr>
              <w:keepNext/>
              <w:keepLines/>
              <w:spacing w:after="0" w:line="240" w:lineRule="auto"/>
              <w:jc w:val="right"/>
            </w:pPr>
            <w:r>
              <w:rPr>
                <w:b/>
                <w:sz w:val="18"/>
              </w:rPr>
              <w:t>-</w:t>
            </w:r>
          </w:p>
        </w:tc>
      </w:tr>
      <w:tr w:rsidR="00FA2BDA" w14:paraId="1A3DB1F9" w14:textId="77777777">
        <w:tblPrEx>
          <w:tblCellMar>
            <w:top w:w="0" w:type="dxa"/>
            <w:bottom w:w="0" w:type="dxa"/>
          </w:tblCellMar>
        </w:tblPrEx>
        <w:trPr>
          <w:cantSplit/>
          <w:trHeight w:val="560"/>
        </w:trPr>
        <w:tc>
          <w:tcPr>
            <w:tcW w:w="700" w:type="dxa"/>
            <w:tcMar>
              <w:top w:w="0" w:type="dxa"/>
              <w:bottom w:w="0" w:type="dxa"/>
            </w:tcMar>
            <w:vAlign w:val="center"/>
          </w:tcPr>
          <w:p w14:paraId="043676B2" w14:textId="77777777" w:rsidR="00FA2BDA" w:rsidRDefault="00FA2BDA">
            <w:pPr>
              <w:keepNext/>
              <w:keepLines/>
              <w:spacing w:after="0" w:line="240" w:lineRule="auto"/>
            </w:pPr>
          </w:p>
        </w:tc>
        <w:tc>
          <w:tcPr>
            <w:tcW w:w="3180" w:type="dxa"/>
            <w:tcMar>
              <w:top w:w="0" w:type="dxa"/>
              <w:bottom w:w="0" w:type="dxa"/>
            </w:tcMar>
            <w:vAlign w:val="center"/>
          </w:tcPr>
          <w:p w14:paraId="3874433C" w14:textId="77777777" w:rsidR="00FA2BDA" w:rsidRDefault="0061149C">
            <w:pPr>
              <w:keepNext/>
              <w:keepLines/>
              <w:spacing w:after="0" w:line="240" w:lineRule="auto"/>
            </w:pPr>
            <w:r>
              <w:rPr>
                <w:b/>
                <w:sz w:val="18"/>
              </w:rPr>
              <w:t>MANJAK PRIHODA I PRIMITAKA (šifre Y345-X678)</w:t>
            </w:r>
          </w:p>
        </w:tc>
        <w:tc>
          <w:tcPr>
            <w:tcW w:w="700" w:type="dxa"/>
            <w:tcMar>
              <w:top w:w="0" w:type="dxa"/>
              <w:bottom w:w="0" w:type="dxa"/>
            </w:tcMar>
            <w:vAlign w:val="center"/>
          </w:tcPr>
          <w:p w14:paraId="5F4433F4" w14:textId="77777777" w:rsidR="00FA2BDA" w:rsidRDefault="0061149C">
            <w:pPr>
              <w:keepNext/>
              <w:keepLines/>
              <w:spacing w:after="0" w:line="240" w:lineRule="auto"/>
            </w:pPr>
            <w:r>
              <w:rPr>
                <w:b/>
                <w:sz w:val="18"/>
              </w:rPr>
              <w:t>Y005</w:t>
            </w:r>
          </w:p>
        </w:tc>
        <w:tc>
          <w:tcPr>
            <w:tcW w:w="1860" w:type="dxa"/>
            <w:tcMar>
              <w:top w:w="0" w:type="dxa"/>
              <w:bottom w:w="0" w:type="dxa"/>
            </w:tcMar>
            <w:vAlign w:val="center"/>
          </w:tcPr>
          <w:p w14:paraId="568A0BB4" w14:textId="77777777" w:rsidR="00FA2BDA" w:rsidRDefault="0061149C">
            <w:pPr>
              <w:keepNext/>
              <w:keepLines/>
              <w:spacing w:after="0" w:line="240" w:lineRule="auto"/>
              <w:jc w:val="right"/>
            </w:pPr>
            <w:r>
              <w:rPr>
                <w:b/>
                <w:sz w:val="18"/>
              </w:rPr>
              <w:t>982,85</w:t>
            </w:r>
          </w:p>
        </w:tc>
        <w:tc>
          <w:tcPr>
            <w:tcW w:w="1860" w:type="dxa"/>
            <w:tcMar>
              <w:top w:w="0" w:type="dxa"/>
              <w:bottom w:w="0" w:type="dxa"/>
            </w:tcMar>
            <w:vAlign w:val="center"/>
          </w:tcPr>
          <w:p w14:paraId="08EFE018" w14:textId="77777777" w:rsidR="00FA2BDA" w:rsidRDefault="0061149C">
            <w:pPr>
              <w:keepNext/>
              <w:keepLines/>
              <w:spacing w:after="0" w:line="240" w:lineRule="auto"/>
              <w:jc w:val="right"/>
            </w:pPr>
            <w:r>
              <w:rPr>
                <w:b/>
                <w:sz w:val="18"/>
              </w:rPr>
              <w:t>175.831,75</w:t>
            </w:r>
          </w:p>
        </w:tc>
        <w:tc>
          <w:tcPr>
            <w:tcW w:w="700" w:type="dxa"/>
            <w:tcMar>
              <w:top w:w="0" w:type="dxa"/>
              <w:bottom w:w="0" w:type="dxa"/>
            </w:tcMar>
            <w:vAlign w:val="center"/>
          </w:tcPr>
          <w:p w14:paraId="7574BB2D" w14:textId="77777777" w:rsidR="00FA2BDA" w:rsidRDefault="0061149C">
            <w:pPr>
              <w:keepNext/>
              <w:keepLines/>
              <w:spacing w:after="0" w:line="240" w:lineRule="auto"/>
              <w:jc w:val="right"/>
            </w:pPr>
            <w:r>
              <w:rPr>
                <w:b/>
                <w:sz w:val="18"/>
              </w:rPr>
              <w:t>&gt;&gt;100</w:t>
            </w:r>
          </w:p>
        </w:tc>
      </w:tr>
    </w:tbl>
    <w:p w14:paraId="4BE1646A" w14:textId="77777777" w:rsidR="00FA2BDA" w:rsidRDefault="00FA2BDA">
      <w:pPr>
        <w:spacing w:after="0"/>
      </w:pPr>
    </w:p>
    <w:p w14:paraId="20D610E0" w14:textId="77777777" w:rsidR="00FA2BDA" w:rsidRDefault="0061149C">
      <w:pPr>
        <w:spacing w:line="240" w:lineRule="auto"/>
        <w:jc w:val="both"/>
      </w:pPr>
      <w:r>
        <w:t xml:space="preserve">Osnovna škola </w:t>
      </w:r>
      <w:r>
        <w:t>„Braća Radić“ je u prvom tromjesečju 2025. godine ukupno prihodovala iznos od 1.780.328,85 EUR (šifra 6). Ukupni rashodi poslovanja (šifra 3)  realizirani su u iznosu od 1.952.743,14 EUR te je manjak prihoda poslovanja (šifra Y001) 172.414,29 EUR. Ukupni p</w:t>
      </w:r>
      <w:r>
        <w:t>rihodi od prodaje nefinancijske imovine (šifra 7) iznose 0,00 EUR, a  ukupni rashodi za nabavu nefinancijske imovine (šifra 4) iznose 3.417,46 EUR, pa je manjak prihoda od nefinancijske imovine (šifra Y002) 3.417,46 EUR. Iskazani rezultat obračunskog razdo</w:t>
      </w:r>
      <w:r>
        <w:t xml:space="preserve">blja tekuće godine predstavlja manjak prihoda i primitaka (šifra Y005) u iznosu od 175.831,75 </w:t>
      </w:r>
      <w:r>
        <w:lastRenderedPageBreak/>
        <w:t>EUR. Najveći razlog tako velikog manjka jest što se prema novom Pravilniku o proračunskom računovodstvu i računskom planu ukinula podskupina 193 - Kontinuirani ra</w:t>
      </w:r>
      <w:r>
        <w:t>shodi budućih razdoblja pa smo u prvom polugodištu knjižili rashode za sedam plaća. S obzirom da se prihod knjiži tek po obavijesti COP-a o isplaćenoj plaći, a to je u srpnju, rashod za plaću za lipanj je povećao manjak koji se prenosi u slijedeće razdoblj</w:t>
      </w:r>
      <w:r>
        <w:t>e.</w:t>
      </w:r>
    </w:p>
    <w:p w14:paraId="4F521719" w14:textId="77777777" w:rsidR="00FA2BDA" w:rsidRDefault="0061149C">
      <w:r>
        <w:br/>
      </w:r>
    </w:p>
    <w:p w14:paraId="1B4CFCFD" w14:textId="77777777" w:rsidR="00FA2BDA" w:rsidRDefault="0061149C">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20306E3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39246C1"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DB159F1"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7D447E5"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5D6F1C3"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20589F2"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98A0D63" w14:textId="77777777" w:rsidR="00FA2BDA" w:rsidRDefault="0061149C">
            <w:pPr>
              <w:keepNext/>
              <w:keepLines/>
              <w:spacing w:after="0" w:line="240" w:lineRule="auto"/>
              <w:jc w:val="center"/>
            </w:pPr>
            <w:r>
              <w:rPr>
                <w:b/>
                <w:sz w:val="18"/>
              </w:rPr>
              <w:t>Indeks (%)</w:t>
            </w:r>
          </w:p>
        </w:tc>
      </w:tr>
      <w:tr w:rsidR="00FA2BDA" w14:paraId="7649D222" w14:textId="77777777">
        <w:tblPrEx>
          <w:tblCellMar>
            <w:top w:w="0" w:type="dxa"/>
            <w:bottom w:w="0" w:type="dxa"/>
          </w:tblCellMar>
        </w:tblPrEx>
        <w:trPr>
          <w:cantSplit/>
          <w:trHeight w:val="560"/>
        </w:trPr>
        <w:tc>
          <w:tcPr>
            <w:tcW w:w="700" w:type="dxa"/>
            <w:tcMar>
              <w:top w:w="0" w:type="dxa"/>
              <w:bottom w:w="0" w:type="dxa"/>
            </w:tcMar>
            <w:vAlign w:val="center"/>
          </w:tcPr>
          <w:p w14:paraId="7D006F31" w14:textId="77777777" w:rsidR="00FA2BDA" w:rsidRDefault="0061149C">
            <w:pPr>
              <w:keepNext/>
              <w:keepLines/>
              <w:spacing w:after="0" w:line="240" w:lineRule="auto"/>
            </w:pPr>
            <w:r>
              <w:rPr>
                <w:sz w:val="18"/>
              </w:rPr>
              <w:t>6361</w:t>
            </w:r>
          </w:p>
        </w:tc>
        <w:tc>
          <w:tcPr>
            <w:tcW w:w="3180" w:type="dxa"/>
            <w:tcMar>
              <w:top w:w="0" w:type="dxa"/>
              <w:bottom w:w="0" w:type="dxa"/>
            </w:tcMar>
            <w:vAlign w:val="center"/>
          </w:tcPr>
          <w:p w14:paraId="14B6B4BF" w14:textId="77777777" w:rsidR="00FA2BDA" w:rsidRDefault="0061149C">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14:paraId="4040C64C" w14:textId="77777777" w:rsidR="00FA2BDA" w:rsidRDefault="0061149C">
            <w:pPr>
              <w:keepNext/>
              <w:keepLines/>
              <w:spacing w:after="0" w:line="240" w:lineRule="auto"/>
            </w:pPr>
            <w:r>
              <w:rPr>
                <w:sz w:val="18"/>
              </w:rPr>
              <w:t>6361</w:t>
            </w:r>
          </w:p>
        </w:tc>
        <w:tc>
          <w:tcPr>
            <w:tcW w:w="1860" w:type="dxa"/>
            <w:tcMar>
              <w:top w:w="0" w:type="dxa"/>
              <w:bottom w:w="0" w:type="dxa"/>
            </w:tcMar>
            <w:vAlign w:val="center"/>
          </w:tcPr>
          <w:p w14:paraId="10043352" w14:textId="77777777" w:rsidR="00FA2BDA" w:rsidRDefault="0061149C">
            <w:pPr>
              <w:keepNext/>
              <w:keepLines/>
              <w:spacing w:after="0" w:line="240" w:lineRule="auto"/>
              <w:jc w:val="right"/>
            </w:pPr>
            <w:r>
              <w:rPr>
                <w:sz w:val="18"/>
              </w:rPr>
              <w:t>1.288.244,00</w:t>
            </w:r>
          </w:p>
        </w:tc>
        <w:tc>
          <w:tcPr>
            <w:tcW w:w="1860" w:type="dxa"/>
            <w:tcMar>
              <w:top w:w="0" w:type="dxa"/>
              <w:bottom w:w="0" w:type="dxa"/>
            </w:tcMar>
            <w:vAlign w:val="center"/>
          </w:tcPr>
          <w:p w14:paraId="0C317EE0" w14:textId="77777777" w:rsidR="00FA2BDA" w:rsidRDefault="0061149C">
            <w:pPr>
              <w:keepNext/>
              <w:keepLines/>
              <w:spacing w:after="0" w:line="240" w:lineRule="auto"/>
              <w:jc w:val="right"/>
            </w:pPr>
            <w:r>
              <w:rPr>
                <w:sz w:val="18"/>
              </w:rPr>
              <w:t>1.435.472,83</w:t>
            </w:r>
          </w:p>
        </w:tc>
        <w:tc>
          <w:tcPr>
            <w:tcW w:w="700" w:type="dxa"/>
            <w:tcMar>
              <w:top w:w="0" w:type="dxa"/>
              <w:bottom w:w="0" w:type="dxa"/>
            </w:tcMar>
            <w:vAlign w:val="center"/>
          </w:tcPr>
          <w:p w14:paraId="61DCFFAF" w14:textId="77777777" w:rsidR="00FA2BDA" w:rsidRDefault="0061149C">
            <w:pPr>
              <w:keepNext/>
              <w:keepLines/>
              <w:spacing w:after="0" w:line="240" w:lineRule="auto"/>
              <w:jc w:val="right"/>
            </w:pPr>
            <w:r>
              <w:rPr>
                <w:sz w:val="18"/>
              </w:rPr>
              <w:t>111,4</w:t>
            </w:r>
          </w:p>
        </w:tc>
      </w:tr>
    </w:tbl>
    <w:p w14:paraId="090F6255" w14:textId="77777777" w:rsidR="00FA2BDA" w:rsidRDefault="00FA2BDA">
      <w:pPr>
        <w:spacing w:after="0"/>
      </w:pPr>
    </w:p>
    <w:p w14:paraId="2E3C13A6" w14:textId="77777777" w:rsidR="00FA2BDA" w:rsidRDefault="0061149C">
      <w:pPr>
        <w:spacing w:line="240" w:lineRule="auto"/>
        <w:jc w:val="both"/>
      </w:pPr>
      <w:r>
        <w:t xml:space="preserve">Tekuće pomoći proračunskim korisnicima iz proračuna koji im nije nadležan iznose 1.435.472,83 EUR i bilježe rast indeksa na 111,4 u odnosu na isto razdoblje prošle godine, najvećim dijelom zbog nove Uredbe o </w:t>
      </w:r>
      <w:r>
        <w:t>nazivima radnih mjesta, uvjetima za raspored i koeficijentima za obračun plaće u javnim službama kojom je došlo do znatnog rasta plaća svim zaposlenicima škole te nekih materijalnih prava, a koja je stupila na snagu 01.03.2024. godine.</w:t>
      </w:r>
    </w:p>
    <w:p w14:paraId="51CA86B1" w14:textId="77777777" w:rsidR="00FA2BDA" w:rsidRDefault="00FA2BDA"/>
    <w:p w14:paraId="619E27C3" w14:textId="77777777" w:rsidR="00FA2BDA" w:rsidRDefault="0061149C">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2D7EBFD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B686086" w14:textId="77777777" w:rsidR="00FA2BDA" w:rsidRDefault="0061149C">
            <w:pPr>
              <w:keepNext/>
              <w:keepLines/>
              <w:spacing w:after="0" w:line="240" w:lineRule="auto"/>
              <w:jc w:val="center"/>
            </w:pPr>
            <w:r>
              <w:rPr>
                <w:b/>
                <w:sz w:val="18"/>
              </w:rPr>
              <w:t>Račun i</w:t>
            </w:r>
            <w:r>
              <w:rPr>
                <w:b/>
                <w:sz w:val="18"/>
              </w:rPr>
              <w:t xml:space="preserve">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E4BB1BF"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8EEC7A5"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B6E0E48"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826DE69"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62F3E89" w14:textId="77777777" w:rsidR="00FA2BDA" w:rsidRDefault="0061149C">
            <w:pPr>
              <w:keepNext/>
              <w:keepLines/>
              <w:spacing w:after="0" w:line="240" w:lineRule="auto"/>
              <w:jc w:val="center"/>
            </w:pPr>
            <w:r>
              <w:rPr>
                <w:b/>
                <w:sz w:val="18"/>
              </w:rPr>
              <w:t>Indeks (%)</w:t>
            </w:r>
          </w:p>
        </w:tc>
      </w:tr>
      <w:tr w:rsidR="00FA2BDA" w14:paraId="649331A4" w14:textId="77777777">
        <w:tblPrEx>
          <w:tblCellMar>
            <w:top w:w="0" w:type="dxa"/>
            <w:bottom w:w="0" w:type="dxa"/>
          </w:tblCellMar>
        </w:tblPrEx>
        <w:trPr>
          <w:cantSplit/>
          <w:trHeight w:val="560"/>
        </w:trPr>
        <w:tc>
          <w:tcPr>
            <w:tcW w:w="700" w:type="dxa"/>
            <w:tcMar>
              <w:top w:w="0" w:type="dxa"/>
              <w:bottom w:w="0" w:type="dxa"/>
            </w:tcMar>
            <w:vAlign w:val="center"/>
          </w:tcPr>
          <w:p w14:paraId="7291C203" w14:textId="77777777" w:rsidR="00FA2BDA" w:rsidRDefault="0061149C">
            <w:pPr>
              <w:keepNext/>
              <w:keepLines/>
              <w:spacing w:after="0" w:line="240" w:lineRule="auto"/>
            </w:pPr>
            <w:r>
              <w:rPr>
                <w:sz w:val="18"/>
              </w:rPr>
              <w:t>6362</w:t>
            </w:r>
          </w:p>
        </w:tc>
        <w:tc>
          <w:tcPr>
            <w:tcW w:w="3180" w:type="dxa"/>
            <w:tcMar>
              <w:top w:w="0" w:type="dxa"/>
              <w:bottom w:w="0" w:type="dxa"/>
            </w:tcMar>
            <w:vAlign w:val="center"/>
          </w:tcPr>
          <w:p w14:paraId="5CCCEE6A" w14:textId="77777777" w:rsidR="00FA2BDA" w:rsidRDefault="0061149C">
            <w:pPr>
              <w:keepNext/>
              <w:keepLines/>
              <w:spacing w:after="0" w:line="240" w:lineRule="auto"/>
            </w:pPr>
            <w:r>
              <w:rPr>
                <w:sz w:val="18"/>
              </w:rPr>
              <w:t>Kapitalne pomoći proračunskim korisnicima iz proračuna koji im nije nadležan</w:t>
            </w:r>
          </w:p>
        </w:tc>
        <w:tc>
          <w:tcPr>
            <w:tcW w:w="700" w:type="dxa"/>
            <w:tcMar>
              <w:top w:w="0" w:type="dxa"/>
              <w:bottom w:w="0" w:type="dxa"/>
            </w:tcMar>
            <w:vAlign w:val="center"/>
          </w:tcPr>
          <w:p w14:paraId="3CE34621" w14:textId="77777777" w:rsidR="00FA2BDA" w:rsidRDefault="0061149C">
            <w:pPr>
              <w:keepNext/>
              <w:keepLines/>
              <w:spacing w:after="0" w:line="240" w:lineRule="auto"/>
            </w:pPr>
            <w:r>
              <w:rPr>
                <w:sz w:val="18"/>
              </w:rPr>
              <w:t>6362</w:t>
            </w:r>
          </w:p>
        </w:tc>
        <w:tc>
          <w:tcPr>
            <w:tcW w:w="1860" w:type="dxa"/>
            <w:tcMar>
              <w:top w:w="0" w:type="dxa"/>
              <w:bottom w:w="0" w:type="dxa"/>
            </w:tcMar>
            <w:vAlign w:val="center"/>
          </w:tcPr>
          <w:p w14:paraId="76062FDC" w14:textId="77777777" w:rsidR="00FA2BDA" w:rsidRDefault="0061149C">
            <w:pPr>
              <w:keepNext/>
              <w:keepLines/>
              <w:spacing w:after="0" w:line="240" w:lineRule="auto"/>
              <w:jc w:val="right"/>
            </w:pPr>
            <w:r>
              <w:rPr>
                <w:sz w:val="18"/>
              </w:rPr>
              <w:t>78,08</w:t>
            </w:r>
          </w:p>
        </w:tc>
        <w:tc>
          <w:tcPr>
            <w:tcW w:w="1860" w:type="dxa"/>
            <w:tcMar>
              <w:top w:w="0" w:type="dxa"/>
              <w:bottom w:w="0" w:type="dxa"/>
            </w:tcMar>
            <w:vAlign w:val="center"/>
          </w:tcPr>
          <w:p w14:paraId="6666FCE3" w14:textId="77777777" w:rsidR="00FA2BDA" w:rsidRDefault="0061149C">
            <w:pPr>
              <w:keepNext/>
              <w:keepLines/>
              <w:spacing w:after="0" w:line="240" w:lineRule="auto"/>
              <w:jc w:val="right"/>
            </w:pPr>
            <w:r>
              <w:rPr>
                <w:sz w:val="18"/>
              </w:rPr>
              <w:t>0,00</w:t>
            </w:r>
          </w:p>
        </w:tc>
        <w:tc>
          <w:tcPr>
            <w:tcW w:w="700" w:type="dxa"/>
            <w:tcMar>
              <w:top w:w="0" w:type="dxa"/>
              <w:bottom w:w="0" w:type="dxa"/>
            </w:tcMar>
            <w:vAlign w:val="center"/>
          </w:tcPr>
          <w:p w14:paraId="180074F2" w14:textId="77777777" w:rsidR="00FA2BDA" w:rsidRDefault="0061149C">
            <w:pPr>
              <w:keepNext/>
              <w:keepLines/>
              <w:spacing w:after="0" w:line="240" w:lineRule="auto"/>
              <w:jc w:val="right"/>
            </w:pPr>
            <w:r>
              <w:rPr>
                <w:sz w:val="18"/>
              </w:rPr>
              <w:t>0</w:t>
            </w:r>
          </w:p>
        </w:tc>
      </w:tr>
    </w:tbl>
    <w:p w14:paraId="7DE45696" w14:textId="77777777" w:rsidR="00FA2BDA" w:rsidRDefault="00FA2BDA">
      <w:pPr>
        <w:spacing w:after="0"/>
      </w:pPr>
    </w:p>
    <w:p w14:paraId="3BDABBEB" w14:textId="77777777" w:rsidR="00FA2BDA" w:rsidRDefault="0061149C">
      <w:pPr>
        <w:spacing w:line="240" w:lineRule="auto"/>
        <w:jc w:val="both"/>
      </w:pPr>
      <w:r>
        <w:t>Kapitalne pomoći proračunskim korisnicima iz proračuna koji im nije nadležan nemaju stanje u odnosu na isto razdoblje prošle godine kad smo nabavljali dodatne udžbenike za učenike škole.</w:t>
      </w:r>
    </w:p>
    <w:p w14:paraId="5167F0ED" w14:textId="77777777" w:rsidR="00FA2BDA" w:rsidRDefault="00FA2BDA"/>
    <w:p w14:paraId="1B9283AD" w14:textId="77777777" w:rsidR="00FA2BDA" w:rsidRDefault="0061149C">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135F57A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ED23393"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111834A"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7E69582"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4027E15" w14:textId="77777777" w:rsidR="00FA2BDA" w:rsidRDefault="0061149C">
            <w:pPr>
              <w:keepNext/>
              <w:keepLines/>
              <w:spacing w:after="0" w:line="240" w:lineRule="auto"/>
              <w:jc w:val="center"/>
            </w:pPr>
            <w:r>
              <w:rPr>
                <w:b/>
                <w:sz w:val="18"/>
              </w:rPr>
              <w:t>Ostvareno u izvješ</w:t>
            </w:r>
            <w:r>
              <w:rPr>
                <w:b/>
                <w:sz w:val="18"/>
              </w:rPr>
              <w:t>tajnom razdoblju prethodne godine</w:t>
            </w:r>
          </w:p>
        </w:tc>
        <w:tc>
          <w:tcPr>
            <w:tcW w:w="1860" w:type="dxa"/>
            <w:shd w:val="clear" w:color="auto" w:fill="E7F0F9"/>
            <w:tcMar>
              <w:top w:w="0" w:type="dxa"/>
              <w:bottom w:w="0" w:type="dxa"/>
            </w:tcMar>
            <w:vAlign w:val="center"/>
          </w:tcPr>
          <w:p w14:paraId="2EABCE03"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00B0F87" w14:textId="77777777" w:rsidR="00FA2BDA" w:rsidRDefault="0061149C">
            <w:pPr>
              <w:keepNext/>
              <w:keepLines/>
              <w:spacing w:after="0" w:line="240" w:lineRule="auto"/>
              <w:jc w:val="center"/>
            </w:pPr>
            <w:r>
              <w:rPr>
                <w:b/>
                <w:sz w:val="18"/>
              </w:rPr>
              <w:t>Indeks (%)</w:t>
            </w:r>
          </w:p>
        </w:tc>
      </w:tr>
      <w:tr w:rsidR="00FA2BDA" w14:paraId="3B460E78" w14:textId="77777777">
        <w:tblPrEx>
          <w:tblCellMar>
            <w:top w:w="0" w:type="dxa"/>
            <w:bottom w:w="0" w:type="dxa"/>
          </w:tblCellMar>
        </w:tblPrEx>
        <w:trPr>
          <w:cantSplit/>
          <w:trHeight w:val="560"/>
        </w:trPr>
        <w:tc>
          <w:tcPr>
            <w:tcW w:w="700" w:type="dxa"/>
            <w:tcMar>
              <w:top w:w="0" w:type="dxa"/>
              <w:bottom w:w="0" w:type="dxa"/>
            </w:tcMar>
            <w:vAlign w:val="center"/>
          </w:tcPr>
          <w:p w14:paraId="4BB18E0F" w14:textId="77777777" w:rsidR="00FA2BDA" w:rsidRDefault="0061149C">
            <w:pPr>
              <w:keepNext/>
              <w:keepLines/>
              <w:spacing w:after="0" w:line="240" w:lineRule="auto"/>
            </w:pPr>
            <w:r>
              <w:rPr>
                <w:sz w:val="18"/>
              </w:rPr>
              <w:t>6391</w:t>
            </w:r>
          </w:p>
        </w:tc>
        <w:tc>
          <w:tcPr>
            <w:tcW w:w="3180" w:type="dxa"/>
            <w:tcMar>
              <w:top w:w="0" w:type="dxa"/>
              <w:bottom w:w="0" w:type="dxa"/>
            </w:tcMar>
            <w:vAlign w:val="center"/>
          </w:tcPr>
          <w:p w14:paraId="75A3B5BB" w14:textId="77777777" w:rsidR="00FA2BDA" w:rsidRDefault="0061149C">
            <w:pPr>
              <w:keepNext/>
              <w:keepLines/>
              <w:spacing w:after="0" w:line="240" w:lineRule="auto"/>
            </w:pPr>
            <w:r>
              <w:rPr>
                <w:sz w:val="18"/>
              </w:rPr>
              <w:t>Tekući prijenosi između proračunskih korisnika istog proračuna</w:t>
            </w:r>
          </w:p>
        </w:tc>
        <w:tc>
          <w:tcPr>
            <w:tcW w:w="700" w:type="dxa"/>
            <w:tcMar>
              <w:top w:w="0" w:type="dxa"/>
              <w:bottom w:w="0" w:type="dxa"/>
            </w:tcMar>
            <w:vAlign w:val="center"/>
          </w:tcPr>
          <w:p w14:paraId="247FB06F" w14:textId="77777777" w:rsidR="00FA2BDA" w:rsidRDefault="0061149C">
            <w:pPr>
              <w:keepNext/>
              <w:keepLines/>
              <w:spacing w:after="0" w:line="240" w:lineRule="auto"/>
            </w:pPr>
            <w:r>
              <w:rPr>
                <w:sz w:val="18"/>
              </w:rPr>
              <w:t>6391</w:t>
            </w:r>
          </w:p>
        </w:tc>
        <w:tc>
          <w:tcPr>
            <w:tcW w:w="1860" w:type="dxa"/>
            <w:tcMar>
              <w:top w:w="0" w:type="dxa"/>
              <w:bottom w:w="0" w:type="dxa"/>
            </w:tcMar>
            <w:vAlign w:val="center"/>
          </w:tcPr>
          <w:p w14:paraId="51A06292" w14:textId="77777777" w:rsidR="00FA2BDA" w:rsidRDefault="0061149C">
            <w:pPr>
              <w:keepNext/>
              <w:keepLines/>
              <w:spacing w:after="0" w:line="240" w:lineRule="auto"/>
              <w:jc w:val="right"/>
            </w:pPr>
            <w:r>
              <w:rPr>
                <w:sz w:val="18"/>
              </w:rPr>
              <w:t>6.149,67</w:t>
            </w:r>
          </w:p>
        </w:tc>
        <w:tc>
          <w:tcPr>
            <w:tcW w:w="1860" w:type="dxa"/>
            <w:tcMar>
              <w:top w:w="0" w:type="dxa"/>
              <w:bottom w:w="0" w:type="dxa"/>
            </w:tcMar>
            <w:vAlign w:val="center"/>
          </w:tcPr>
          <w:p w14:paraId="10F2697D" w14:textId="77777777" w:rsidR="00FA2BDA" w:rsidRDefault="0061149C">
            <w:pPr>
              <w:keepNext/>
              <w:keepLines/>
              <w:spacing w:after="0" w:line="240" w:lineRule="auto"/>
              <w:jc w:val="right"/>
            </w:pPr>
            <w:r>
              <w:rPr>
                <w:sz w:val="18"/>
              </w:rPr>
              <w:t>16.611,27</w:t>
            </w:r>
          </w:p>
        </w:tc>
        <w:tc>
          <w:tcPr>
            <w:tcW w:w="700" w:type="dxa"/>
            <w:tcMar>
              <w:top w:w="0" w:type="dxa"/>
              <w:bottom w:w="0" w:type="dxa"/>
            </w:tcMar>
            <w:vAlign w:val="center"/>
          </w:tcPr>
          <w:p w14:paraId="3EC589D9" w14:textId="77777777" w:rsidR="00FA2BDA" w:rsidRDefault="0061149C">
            <w:pPr>
              <w:keepNext/>
              <w:keepLines/>
              <w:spacing w:after="0" w:line="240" w:lineRule="auto"/>
              <w:jc w:val="right"/>
            </w:pPr>
            <w:r>
              <w:rPr>
                <w:sz w:val="18"/>
              </w:rPr>
              <w:t>270,1</w:t>
            </w:r>
          </w:p>
        </w:tc>
      </w:tr>
    </w:tbl>
    <w:p w14:paraId="09A5D3C2" w14:textId="77777777" w:rsidR="00FA2BDA" w:rsidRDefault="00FA2BDA">
      <w:pPr>
        <w:spacing w:after="0"/>
      </w:pPr>
    </w:p>
    <w:p w14:paraId="39B97BDD" w14:textId="77777777" w:rsidR="00FA2BDA" w:rsidRDefault="0061149C">
      <w:pPr>
        <w:spacing w:line="240" w:lineRule="auto"/>
        <w:jc w:val="both"/>
      </w:pPr>
      <w:r>
        <w:t xml:space="preserve">Prijenosi između proračunskih korisnika istog </w:t>
      </w:r>
      <w:r>
        <w:t>proračuna bilježe stanje od 16.611,27 EUR i rast indeksa na 270,1  zbog rasta plaća pomoćnicima u nastavi prema novom Pravilniku o pomoćnicima u nastavi i stručnim komunikacijskim posrednicima (NN85/2024).</w:t>
      </w:r>
    </w:p>
    <w:p w14:paraId="1BD1A494" w14:textId="77777777" w:rsidR="00FA2BDA" w:rsidRDefault="00FA2BDA"/>
    <w:p w14:paraId="54A38CB1" w14:textId="77777777" w:rsidR="00FA2BDA" w:rsidRDefault="0061149C">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12FDAAA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15954B8"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B13D854"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5F0547"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F5A4AE3"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5F7B4FE"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AE73588" w14:textId="77777777" w:rsidR="00FA2BDA" w:rsidRDefault="0061149C">
            <w:pPr>
              <w:keepNext/>
              <w:keepLines/>
              <w:spacing w:after="0" w:line="240" w:lineRule="auto"/>
              <w:jc w:val="center"/>
            </w:pPr>
            <w:r>
              <w:rPr>
                <w:b/>
                <w:sz w:val="18"/>
              </w:rPr>
              <w:t>Indeks (%)</w:t>
            </w:r>
          </w:p>
        </w:tc>
      </w:tr>
      <w:tr w:rsidR="00FA2BDA" w14:paraId="3F362961" w14:textId="77777777">
        <w:tblPrEx>
          <w:tblCellMar>
            <w:top w:w="0" w:type="dxa"/>
            <w:bottom w:w="0" w:type="dxa"/>
          </w:tblCellMar>
        </w:tblPrEx>
        <w:trPr>
          <w:cantSplit/>
          <w:trHeight w:val="560"/>
        </w:trPr>
        <w:tc>
          <w:tcPr>
            <w:tcW w:w="700" w:type="dxa"/>
            <w:tcMar>
              <w:top w:w="0" w:type="dxa"/>
              <w:bottom w:w="0" w:type="dxa"/>
            </w:tcMar>
            <w:vAlign w:val="center"/>
          </w:tcPr>
          <w:p w14:paraId="28879EA8" w14:textId="77777777" w:rsidR="00FA2BDA" w:rsidRDefault="0061149C">
            <w:pPr>
              <w:keepNext/>
              <w:keepLines/>
              <w:spacing w:after="0" w:line="240" w:lineRule="auto"/>
            </w:pPr>
            <w:r>
              <w:rPr>
                <w:sz w:val="18"/>
              </w:rPr>
              <w:t>6393</w:t>
            </w:r>
          </w:p>
        </w:tc>
        <w:tc>
          <w:tcPr>
            <w:tcW w:w="3180" w:type="dxa"/>
            <w:tcMar>
              <w:top w:w="0" w:type="dxa"/>
              <w:bottom w:w="0" w:type="dxa"/>
            </w:tcMar>
            <w:vAlign w:val="center"/>
          </w:tcPr>
          <w:p w14:paraId="75DE6766" w14:textId="77777777" w:rsidR="00FA2BDA" w:rsidRDefault="0061149C">
            <w:pPr>
              <w:keepNext/>
              <w:keepLines/>
              <w:spacing w:after="0" w:line="240" w:lineRule="auto"/>
            </w:pPr>
            <w:r>
              <w:rPr>
                <w:sz w:val="18"/>
              </w:rPr>
              <w:t>Tekući prijenosi između proračunskih korisnika istog proračuna temeljem prijenosa EU sredstava</w:t>
            </w:r>
          </w:p>
        </w:tc>
        <w:tc>
          <w:tcPr>
            <w:tcW w:w="700" w:type="dxa"/>
            <w:tcMar>
              <w:top w:w="0" w:type="dxa"/>
              <w:bottom w:w="0" w:type="dxa"/>
            </w:tcMar>
            <w:vAlign w:val="center"/>
          </w:tcPr>
          <w:p w14:paraId="7031A21F" w14:textId="77777777" w:rsidR="00FA2BDA" w:rsidRDefault="0061149C">
            <w:pPr>
              <w:keepNext/>
              <w:keepLines/>
              <w:spacing w:after="0" w:line="240" w:lineRule="auto"/>
            </w:pPr>
            <w:r>
              <w:rPr>
                <w:sz w:val="18"/>
              </w:rPr>
              <w:t>6393</w:t>
            </w:r>
          </w:p>
        </w:tc>
        <w:tc>
          <w:tcPr>
            <w:tcW w:w="1860" w:type="dxa"/>
            <w:tcMar>
              <w:top w:w="0" w:type="dxa"/>
              <w:bottom w:w="0" w:type="dxa"/>
            </w:tcMar>
            <w:vAlign w:val="center"/>
          </w:tcPr>
          <w:p w14:paraId="3B257905" w14:textId="77777777" w:rsidR="00FA2BDA" w:rsidRDefault="0061149C">
            <w:pPr>
              <w:keepNext/>
              <w:keepLines/>
              <w:spacing w:after="0" w:line="240" w:lineRule="auto"/>
              <w:jc w:val="right"/>
            </w:pPr>
            <w:r>
              <w:rPr>
                <w:sz w:val="18"/>
              </w:rPr>
              <w:t>30.714,61</w:t>
            </w:r>
          </w:p>
        </w:tc>
        <w:tc>
          <w:tcPr>
            <w:tcW w:w="1860" w:type="dxa"/>
            <w:tcMar>
              <w:top w:w="0" w:type="dxa"/>
              <w:bottom w:w="0" w:type="dxa"/>
            </w:tcMar>
            <w:vAlign w:val="center"/>
          </w:tcPr>
          <w:p w14:paraId="27A0951A" w14:textId="77777777" w:rsidR="00FA2BDA" w:rsidRDefault="0061149C">
            <w:pPr>
              <w:keepNext/>
              <w:keepLines/>
              <w:spacing w:after="0" w:line="240" w:lineRule="auto"/>
              <w:jc w:val="right"/>
            </w:pPr>
            <w:r>
              <w:rPr>
                <w:sz w:val="18"/>
              </w:rPr>
              <w:t>47.220,28</w:t>
            </w:r>
          </w:p>
        </w:tc>
        <w:tc>
          <w:tcPr>
            <w:tcW w:w="700" w:type="dxa"/>
            <w:tcMar>
              <w:top w:w="0" w:type="dxa"/>
              <w:bottom w:w="0" w:type="dxa"/>
            </w:tcMar>
            <w:vAlign w:val="center"/>
          </w:tcPr>
          <w:p w14:paraId="5684C994" w14:textId="77777777" w:rsidR="00FA2BDA" w:rsidRDefault="0061149C">
            <w:pPr>
              <w:keepNext/>
              <w:keepLines/>
              <w:spacing w:after="0" w:line="240" w:lineRule="auto"/>
              <w:jc w:val="right"/>
            </w:pPr>
            <w:r>
              <w:rPr>
                <w:sz w:val="18"/>
              </w:rPr>
              <w:t>153,7</w:t>
            </w:r>
          </w:p>
        </w:tc>
      </w:tr>
    </w:tbl>
    <w:p w14:paraId="1BDE3652" w14:textId="77777777" w:rsidR="00FA2BDA" w:rsidRDefault="00FA2BDA">
      <w:pPr>
        <w:spacing w:after="0"/>
      </w:pPr>
    </w:p>
    <w:p w14:paraId="36D6B797" w14:textId="77777777" w:rsidR="00FA2BDA" w:rsidRDefault="0061149C">
      <w:pPr>
        <w:spacing w:line="240" w:lineRule="auto"/>
        <w:jc w:val="both"/>
      </w:pPr>
      <w:r>
        <w:t>Prijenosi između proračunskih korisnika istog proračuna temeljem prijenosa EU sredstava bilježe stanje od 47.220,28 EUR i rast indeksa na 153,7 zbog rasta plaća pomoćnicima u nastavi prema novom Pravilniku o pomoćnicima u nastavi i stručnim komunikacijskim</w:t>
      </w:r>
      <w:r>
        <w:t xml:space="preserve"> posrednicima (NN85/2024) te iz razloga što prošle godine nismo u prvom tromjesečju imali ugovore za shemu voća i mlijeka.</w:t>
      </w:r>
    </w:p>
    <w:p w14:paraId="664DE07D" w14:textId="77777777" w:rsidR="00FA2BDA" w:rsidRDefault="00FA2BDA"/>
    <w:p w14:paraId="54AA03EF" w14:textId="77777777" w:rsidR="00FA2BDA" w:rsidRDefault="0061149C">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04D9BA6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965D094"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1FF6EB1"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F466D97"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BE72C45"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E9A3AFD" w14:textId="77777777" w:rsidR="00FA2BDA" w:rsidRDefault="0061149C">
            <w:pPr>
              <w:keepNext/>
              <w:keepLines/>
              <w:spacing w:after="0" w:line="240" w:lineRule="auto"/>
              <w:jc w:val="center"/>
            </w:pPr>
            <w:r>
              <w:rPr>
                <w:b/>
                <w:sz w:val="18"/>
              </w:rPr>
              <w:t xml:space="preserve">Ostvareno u </w:t>
            </w:r>
            <w:r>
              <w:rPr>
                <w:b/>
                <w:sz w:val="18"/>
              </w:rPr>
              <w:t>izvještajnom razdoblju tekuće godine</w:t>
            </w:r>
          </w:p>
        </w:tc>
        <w:tc>
          <w:tcPr>
            <w:tcW w:w="700" w:type="dxa"/>
            <w:shd w:val="clear" w:color="auto" w:fill="E7F0F9"/>
            <w:tcMar>
              <w:top w:w="0" w:type="dxa"/>
              <w:bottom w:w="0" w:type="dxa"/>
            </w:tcMar>
            <w:vAlign w:val="center"/>
          </w:tcPr>
          <w:p w14:paraId="2DD5F9B7" w14:textId="77777777" w:rsidR="00FA2BDA" w:rsidRDefault="0061149C">
            <w:pPr>
              <w:keepNext/>
              <w:keepLines/>
              <w:spacing w:after="0" w:line="240" w:lineRule="auto"/>
              <w:jc w:val="center"/>
            </w:pPr>
            <w:r>
              <w:rPr>
                <w:b/>
                <w:sz w:val="18"/>
              </w:rPr>
              <w:t>Indeks (%)</w:t>
            </w:r>
          </w:p>
        </w:tc>
      </w:tr>
      <w:tr w:rsidR="00FA2BDA" w14:paraId="36DEBE22" w14:textId="77777777">
        <w:tblPrEx>
          <w:tblCellMar>
            <w:top w:w="0" w:type="dxa"/>
            <w:bottom w:w="0" w:type="dxa"/>
          </w:tblCellMar>
        </w:tblPrEx>
        <w:trPr>
          <w:cantSplit/>
          <w:trHeight w:val="560"/>
        </w:trPr>
        <w:tc>
          <w:tcPr>
            <w:tcW w:w="700" w:type="dxa"/>
            <w:tcMar>
              <w:top w:w="0" w:type="dxa"/>
              <w:bottom w:w="0" w:type="dxa"/>
            </w:tcMar>
            <w:vAlign w:val="center"/>
          </w:tcPr>
          <w:p w14:paraId="2FD18C04" w14:textId="77777777" w:rsidR="00FA2BDA" w:rsidRDefault="0061149C">
            <w:pPr>
              <w:keepNext/>
              <w:keepLines/>
              <w:spacing w:after="0" w:line="240" w:lineRule="auto"/>
            </w:pPr>
            <w:r>
              <w:rPr>
                <w:sz w:val="18"/>
              </w:rPr>
              <w:t>6526</w:t>
            </w:r>
          </w:p>
        </w:tc>
        <w:tc>
          <w:tcPr>
            <w:tcW w:w="3180" w:type="dxa"/>
            <w:tcMar>
              <w:top w:w="0" w:type="dxa"/>
              <w:bottom w:w="0" w:type="dxa"/>
            </w:tcMar>
            <w:vAlign w:val="center"/>
          </w:tcPr>
          <w:p w14:paraId="14F53392" w14:textId="77777777" w:rsidR="00FA2BDA" w:rsidRDefault="0061149C">
            <w:pPr>
              <w:keepNext/>
              <w:keepLines/>
              <w:spacing w:after="0" w:line="240" w:lineRule="auto"/>
            </w:pPr>
            <w:r>
              <w:rPr>
                <w:sz w:val="18"/>
              </w:rPr>
              <w:t>Ostali nespomenuti prihodi</w:t>
            </w:r>
          </w:p>
        </w:tc>
        <w:tc>
          <w:tcPr>
            <w:tcW w:w="700" w:type="dxa"/>
            <w:tcMar>
              <w:top w:w="0" w:type="dxa"/>
              <w:bottom w:w="0" w:type="dxa"/>
            </w:tcMar>
            <w:vAlign w:val="center"/>
          </w:tcPr>
          <w:p w14:paraId="1DC831C5" w14:textId="77777777" w:rsidR="00FA2BDA" w:rsidRDefault="0061149C">
            <w:pPr>
              <w:keepNext/>
              <w:keepLines/>
              <w:spacing w:after="0" w:line="240" w:lineRule="auto"/>
            </w:pPr>
            <w:r>
              <w:rPr>
                <w:sz w:val="18"/>
              </w:rPr>
              <w:t>6526</w:t>
            </w:r>
          </w:p>
        </w:tc>
        <w:tc>
          <w:tcPr>
            <w:tcW w:w="1860" w:type="dxa"/>
            <w:tcMar>
              <w:top w:w="0" w:type="dxa"/>
              <w:bottom w:w="0" w:type="dxa"/>
            </w:tcMar>
            <w:vAlign w:val="center"/>
          </w:tcPr>
          <w:p w14:paraId="242A2238" w14:textId="77777777" w:rsidR="00FA2BDA" w:rsidRDefault="0061149C">
            <w:pPr>
              <w:keepNext/>
              <w:keepLines/>
              <w:spacing w:after="0" w:line="240" w:lineRule="auto"/>
              <w:jc w:val="right"/>
            </w:pPr>
            <w:r>
              <w:rPr>
                <w:sz w:val="18"/>
              </w:rPr>
              <w:t>3.723,88</w:t>
            </w:r>
          </w:p>
        </w:tc>
        <w:tc>
          <w:tcPr>
            <w:tcW w:w="1860" w:type="dxa"/>
            <w:tcMar>
              <w:top w:w="0" w:type="dxa"/>
              <w:bottom w:w="0" w:type="dxa"/>
            </w:tcMar>
            <w:vAlign w:val="center"/>
          </w:tcPr>
          <w:p w14:paraId="7F6F750A" w14:textId="77777777" w:rsidR="00FA2BDA" w:rsidRDefault="0061149C">
            <w:pPr>
              <w:keepNext/>
              <w:keepLines/>
              <w:spacing w:after="0" w:line="240" w:lineRule="auto"/>
              <w:jc w:val="right"/>
            </w:pPr>
            <w:r>
              <w:rPr>
                <w:sz w:val="18"/>
              </w:rPr>
              <w:t>1.646,96</w:t>
            </w:r>
          </w:p>
        </w:tc>
        <w:tc>
          <w:tcPr>
            <w:tcW w:w="700" w:type="dxa"/>
            <w:tcMar>
              <w:top w:w="0" w:type="dxa"/>
              <w:bottom w:w="0" w:type="dxa"/>
            </w:tcMar>
            <w:vAlign w:val="center"/>
          </w:tcPr>
          <w:p w14:paraId="71E9F166" w14:textId="77777777" w:rsidR="00FA2BDA" w:rsidRDefault="0061149C">
            <w:pPr>
              <w:keepNext/>
              <w:keepLines/>
              <w:spacing w:after="0" w:line="240" w:lineRule="auto"/>
              <w:jc w:val="right"/>
            </w:pPr>
            <w:r>
              <w:rPr>
                <w:sz w:val="18"/>
              </w:rPr>
              <w:t>44,2</w:t>
            </w:r>
          </w:p>
        </w:tc>
      </w:tr>
    </w:tbl>
    <w:p w14:paraId="1A30DD5E" w14:textId="77777777" w:rsidR="00FA2BDA" w:rsidRDefault="00FA2BDA">
      <w:pPr>
        <w:spacing w:after="0"/>
      </w:pPr>
    </w:p>
    <w:p w14:paraId="5FA92FC5" w14:textId="77777777" w:rsidR="00FA2BDA" w:rsidRDefault="0061149C">
      <w:pPr>
        <w:spacing w:line="240" w:lineRule="auto"/>
        <w:jc w:val="both"/>
      </w:pPr>
      <w:r>
        <w:t xml:space="preserve">Ostali nespomenuti prihodi ostvareni su u iznosu od 1.646,96 EUR te bilježe pad indeksa na 44,2 zato što smo u 2024. godini troškove </w:t>
      </w:r>
      <w:r>
        <w:t xml:space="preserve">međuopćinskog natjecanja u </w:t>
      </w:r>
      <w:proofErr w:type="spellStart"/>
      <w:r>
        <w:t>futsalu</w:t>
      </w:r>
      <w:proofErr w:type="spellEnd"/>
      <w:r>
        <w:t xml:space="preserve"> naplaćivali od drugih škola (kao prihod za posebne namjene), dok se ove godine ono financira od strane ŠŠS KC-KŽ županije(nenadležnog proračuna). Isto tako je bilo više plaćenih popravaka oštećene imovine od strane rodite</w:t>
      </w:r>
      <w:r>
        <w:t>lja (tableti, vrata na WC-u) te je bilo više uplata roditelja za terenske nastave.</w:t>
      </w:r>
    </w:p>
    <w:p w14:paraId="789A837C" w14:textId="77777777" w:rsidR="00FA2BDA" w:rsidRDefault="00FA2BDA"/>
    <w:p w14:paraId="5AB333F7" w14:textId="77777777" w:rsidR="00FA2BDA" w:rsidRDefault="0061149C">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220EF25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7DD77C1"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647E59A"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F403184"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CB87670"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BA46639"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CF29A1C" w14:textId="77777777" w:rsidR="00FA2BDA" w:rsidRDefault="0061149C">
            <w:pPr>
              <w:keepNext/>
              <w:keepLines/>
              <w:spacing w:after="0" w:line="240" w:lineRule="auto"/>
              <w:jc w:val="center"/>
            </w:pPr>
            <w:r>
              <w:rPr>
                <w:b/>
                <w:sz w:val="18"/>
              </w:rPr>
              <w:t>Indeks (%)</w:t>
            </w:r>
          </w:p>
        </w:tc>
      </w:tr>
      <w:tr w:rsidR="00FA2BDA" w14:paraId="04865065" w14:textId="77777777">
        <w:tblPrEx>
          <w:tblCellMar>
            <w:top w:w="0" w:type="dxa"/>
            <w:bottom w:w="0" w:type="dxa"/>
          </w:tblCellMar>
        </w:tblPrEx>
        <w:trPr>
          <w:cantSplit/>
          <w:trHeight w:val="560"/>
        </w:trPr>
        <w:tc>
          <w:tcPr>
            <w:tcW w:w="700" w:type="dxa"/>
            <w:tcMar>
              <w:top w:w="0" w:type="dxa"/>
              <w:bottom w:w="0" w:type="dxa"/>
            </w:tcMar>
            <w:vAlign w:val="center"/>
          </w:tcPr>
          <w:p w14:paraId="32731EF0" w14:textId="77777777" w:rsidR="00FA2BDA" w:rsidRDefault="0061149C">
            <w:pPr>
              <w:keepNext/>
              <w:keepLines/>
              <w:spacing w:after="0" w:line="240" w:lineRule="auto"/>
            </w:pPr>
            <w:r>
              <w:rPr>
                <w:sz w:val="18"/>
              </w:rPr>
              <w:t>6614</w:t>
            </w:r>
          </w:p>
        </w:tc>
        <w:tc>
          <w:tcPr>
            <w:tcW w:w="3180" w:type="dxa"/>
            <w:tcMar>
              <w:top w:w="0" w:type="dxa"/>
              <w:bottom w:w="0" w:type="dxa"/>
            </w:tcMar>
            <w:vAlign w:val="center"/>
          </w:tcPr>
          <w:p w14:paraId="0576AD4A" w14:textId="77777777" w:rsidR="00FA2BDA" w:rsidRDefault="0061149C">
            <w:pPr>
              <w:keepNext/>
              <w:keepLines/>
              <w:spacing w:after="0" w:line="240" w:lineRule="auto"/>
            </w:pPr>
            <w:r>
              <w:rPr>
                <w:sz w:val="18"/>
              </w:rPr>
              <w:t>Prihodi od prodaje proizvoda i robe</w:t>
            </w:r>
          </w:p>
        </w:tc>
        <w:tc>
          <w:tcPr>
            <w:tcW w:w="700" w:type="dxa"/>
            <w:tcMar>
              <w:top w:w="0" w:type="dxa"/>
              <w:bottom w:w="0" w:type="dxa"/>
            </w:tcMar>
            <w:vAlign w:val="center"/>
          </w:tcPr>
          <w:p w14:paraId="34E2AA07" w14:textId="77777777" w:rsidR="00FA2BDA" w:rsidRDefault="0061149C">
            <w:pPr>
              <w:keepNext/>
              <w:keepLines/>
              <w:spacing w:after="0" w:line="240" w:lineRule="auto"/>
            </w:pPr>
            <w:r>
              <w:rPr>
                <w:sz w:val="18"/>
              </w:rPr>
              <w:t>6614</w:t>
            </w:r>
          </w:p>
        </w:tc>
        <w:tc>
          <w:tcPr>
            <w:tcW w:w="1860" w:type="dxa"/>
            <w:tcMar>
              <w:top w:w="0" w:type="dxa"/>
              <w:bottom w:w="0" w:type="dxa"/>
            </w:tcMar>
            <w:vAlign w:val="center"/>
          </w:tcPr>
          <w:p w14:paraId="76A1A695" w14:textId="77777777" w:rsidR="00FA2BDA" w:rsidRDefault="0061149C">
            <w:pPr>
              <w:keepNext/>
              <w:keepLines/>
              <w:spacing w:after="0" w:line="240" w:lineRule="auto"/>
              <w:jc w:val="right"/>
            </w:pPr>
            <w:r>
              <w:rPr>
                <w:sz w:val="18"/>
              </w:rPr>
              <w:t>114,48</w:t>
            </w:r>
          </w:p>
        </w:tc>
        <w:tc>
          <w:tcPr>
            <w:tcW w:w="1860" w:type="dxa"/>
            <w:tcMar>
              <w:top w:w="0" w:type="dxa"/>
              <w:bottom w:w="0" w:type="dxa"/>
            </w:tcMar>
            <w:vAlign w:val="center"/>
          </w:tcPr>
          <w:p w14:paraId="32808C61" w14:textId="77777777" w:rsidR="00FA2BDA" w:rsidRDefault="0061149C">
            <w:pPr>
              <w:keepNext/>
              <w:keepLines/>
              <w:spacing w:after="0" w:line="240" w:lineRule="auto"/>
              <w:jc w:val="right"/>
            </w:pPr>
            <w:r>
              <w:rPr>
                <w:sz w:val="18"/>
              </w:rPr>
              <w:t>1.668,71</w:t>
            </w:r>
          </w:p>
        </w:tc>
        <w:tc>
          <w:tcPr>
            <w:tcW w:w="700" w:type="dxa"/>
            <w:tcMar>
              <w:top w:w="0" w:type="dxa"/>
              <w:bottom w:w="0" w:type="dxa"/>
            </w:tcMar>
            <w:vAlign w:val="center"/>
          </w:tcPr>
          <w:p w14:paraId="08962E99" w14:textId="77777777" w:rsidR="00FA2BDA" w:rsidRDefault="0061149C">
            <w:pPr>
              <w:keepNext/>
              <w:keepLines/>
              <w:spacing w:after="0" w:line="240" w:lineRule="auto"/>
              <w:jc w:val="right"/>
            </w:pPr>
            <w:r>
              <w:rPr>
                <w:sz w:val="18"/>
              </w:rPr>
              <w:t>1457,6</w:t>
            </w:r>
          </w:p>
        </w:tc>
      </w:tr>
    </w:tbl>
    <w:p w14:paraId="2FC6D7A2" w14:textId="77777777" w:rsidR="00FA2BDA" w:rsidRDefault="00FA2BDA">
      <w:pPr>
        <w:spacing w:after="0"/>
      </w:pPr>
    </w:p>
    <w:p w14:paraId="7A4B2A61" w14:textId="77777777" w:rsidR="00FA2BDA" w:rsidRDefault="0061149C">
      <w:pPr>
        <w:spacing w:line="240" w:lineRule="auto"/>
        <w:jc w:val="both"/>
      </w:pPr>
      <w:r>
        <w:t xml:space="preserve">Prihodi od prodaje proizvoda i robe bilježe ostvarenje od 1.668,71 EUR i rast indeksa na 1457,6 najviše zbog ostvarenog prihoda od prodaje viška električne energije HEP-u te prodanih </w:t>
      </w:r>
      <w:r>
        <w:t>starih baterija.</w:t>
      </w:r>
    </w:p>
    <w:p w14:paraId="30A5C4D9" w14:textId="77777777" w:rsidR="00FA2BDA" w:rsidRDefault="00FA2BDA"/>
    <w:p w14:paraId="627D8B2D" w14:textId="77777777" w:rsidR="00FA2BDA" w:rsidRDefault="0061149C">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3E60BD3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5512F18"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68854DB"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72C24B0"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3882038"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848EB98"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0830B9A" w14:textId="77777777" w:rsidR="00FA2BDA" w:rsidRDefault="0061149C">
            <w:pPr>
              <w:keepNext/>
              <w:keepLines/>
              <w:spacing w:after="0" w:line="240" w:lineRule="auto"/>
              <w:jc w:val="center"/>
            </w:pPr>
            <w:r>
              <w:rPr>
                <w:b/>
                <w:sz w:val="18"/>
              </w:rPr>
              <w:t>Indeks (%)</w:t>
            </w:r>
          </w:p>
        </w:tc>
      </w:tr>
      <w:tr w:rsidR="00FA2BDA" w14:paraId="124A4FD1" w14:textId="77777777">
        <w:tblPrEx>
          <w:tblCellMar>
            <w:top w:w="0" w:type="dxa"/>
            <w:bottom w:w="0" w:type="dxa"/>
          </w:tblCellMar>
        </w:tblPrEx>
        <w:trPr>
          <w:cantSplit/>
          <w:trHeight w:val="560"/>
        </w:trPr>
        <w:tc>
          <w:tcPr>
            <w:tcW w:w="700" w:type="dxa"/>
            <w:tcMar>
              <w:top w:w="0" w:type="dxa"/>
              <w:bottom w:w="0" w:type="dxa"/>
            </w:tcMar>
            <w:vAlign w:val="center"/>
          </w:tcPr>
          <w:p w14:paraId="20475ED1" w14:textId="77777777" w:rsidR="00FA2BDA" w:rsidRDefault="0061149C">
            <w:pPr>
              <w:keepNext/>
              <w:keepLines/>
              <w:spacing w:after="0" w:line="240" w:lineRule="auto"/>
            </w:pPr>
            <w:r>
              <w:rPr>
                <w:sz w:val="18"/>
              </w:rPr>
              <w:t>6615</w:t>
            </w:r>
          </w:p>
        </w:tc>
        <w:tc>
          <w:tcPr>
            <w:tcW w:w="3180" w:type="dxa"/>
            <w:tcMar>
              <w:top w:w="0" w:type="dxa"/>
              <w:bottom w:w="0" w:type="dxa"/>
            </w:tcMar>
            <w:vAlign w:val="center"/>
          </w:tcPr>
          <w:p w14:paraId="6D0D3E95" w14:textId="77777777" w:rsidR="00FA2BDA" w:rsidRDefault="0061149C">
            <w:pPr>
              <w:keepNext/>
              <w:keepLines/>
              <w:spacing w:after="0" w:line="240" w:lineRule="auto"/>
            </w:pPr>
            <w:r>
              <w:rPr>
                <w:sz w:val="18"/>
              </w:rPr>
              <w:t>Prihodi od pruženih usluga</w:t>
            </w:r>
          </w:p>
        </w:tc>
        <w:tc>
          <w:tcPr>
            <w:tcW w:w="700" w:type="dxa"/>
            <w:tcMar>
              <w:top w:w="0" w:type="dxa"/>
              <w:bottom w:w="0" w:type="dxa"/>
            </w:tcMar>
            <w:vAlign w:val="center"/>
          </w:tcPr>
          <w:p w14:paraId="3026BEFC" w14:textId="77777777" w:rsidR="00FA2BDA" w:rsidRDefault="0061149C">
            <w:pPr>
              <w:keepNext/>
              <w:keepLines/>
              <w:spacing w:after="0" w:line="240" w:lineRule="auto"/>
            </w:pPr>
            <w:r>
              <w:rPr>
                <w:sz w:val="18"/>
              </w:rPr>
              <w:t>6615</w:t>
            </w:r>
          </w:p>
        </w:tc>
        <w:tc>
          <w:tcPr>
            <w:tcW w:w="1860" w:type="dxa"/>
            <w:tcMar>
              <w:top w:w="0" w:type="dxa"/>
              <w:bottom w:w="0" w:type="dxa"/>
            </w:tcMar>
            <w:vAlign w:val="center"/>
          </w:tcPr>
          <w:p w14:paraId="59798FE7" w14:textId="77777777" w:rsidR="00FA2BDA" w:rsidRDefault="0061149C">
            <w:pPr>
              <w:keepNext/>
              <w:keepLines/>
              <w:spacing w:after="0" w:line="240" w:lineRule="auto"/>
              <w:jc w:val="right"/>
            </w:pPr>
            <w:r>
              <w:rPr>
                <w:sz w:val="18"/>
              </w:rPr>
              <w:t>3.168,92</w:t>
            </w:r>
          </w:p>
        </w:tc>
        <w:tc>
          <w:tcPr>
            <w:tcW w:w="1860" w:type="dxa"/>
            <w:tcMar>
              <w:top w:w="0" w:type="dxa"/>
              <w:bottom w:w="0" w:type="dxa"/>
            </w:tcMar>
            <w:vAlign w:val="center"/>
          </w:tcPr>
          <w:p w14:paraId="27928043" w14:textId="77777777" w:rsidR="00FA2BDA" w:rsidRDefault="0061149C">
            <w:pPr>
              <w:keepNext/>
              <w:keepLines/>
              <w:spacing w:after="0" w:line="240" w:lineRule="auto"/>
              <w:jc w:val="right"/>
            </w:pPr>
            <w:r>
              <w:rPr>
                <w:sz w:val="18"/>
              </w:rPr>
              <w:t>3.618,41</w:t>
            </w:r>
          </w:p>
        </w:tc>
        <w:tc>
          <w:tcPr>
            <w:tcW w:w="700" w:type="dxa"/>
            <w:tcMar>
              <w:top w:w="0" w:type="dxa"/>
              <w:bottom w:w="0" w:type="dxa"/>
            </w:tcMar>
            <w:vAlign w:val="center"/>
          </w:tcPr>
          <w:p w14:paraId="3A4F6108" w14:textId="77777777" w:rsidR="00FA2BDA" w:rsidRDefault="0061149C">
            <w:pPr>
              <w:keepNext/>
              <w:keepLines/>
              <w:spacing w:after="0" w:line="240" w:lineRule="auto"/>
              <w:jc w:val="right"/>
            </w:pPr>
            <w:r>
              <w:rPr>
                <w:sz w:val="18"/>
              </w:rPr>
              <w:t>114,2</w:t>
            </w:r>
          </w:p>
        </w:tc>
      </w:tr>
    </w:tbl>
    <w:p w14:paraId="47E4CB95" w14:textId="77777777" w:rsidR="00FA2BDA" w:rsidRDefault="00FA2BDA">
      <w:pPr>
        <w:spacing w:after="0"/>
      </w:pPr>
    </w:p>
    <w:p w14:paraId="2F62F7FC" w14:textId="77777777" w:rsidR="00FA2BDA" w:rsidRDefault="0061149C">
      <w:pPr>
        <w:spacing w:line="240" w:lineRule="auto"/>
        <w:jc w:val="both"/>
      </w:pPr>
      <w:r>
        <w:lastRenderedPageBreak/>
        <w:t>Prihodi od prodaje proizvoda i robe te pruženih usluga bilježe ostvarenje od 3.618,41 EUR te  rast  indeksa na 114,2 jer smo u 2025. godini povećali iznos zakupa poslovnog prostora sa 53,09 EUR na 100,00 EUR te smo više naplatili dospjelih potraživanja.</w:t>
      </w:r>
    </w:p>
    <w:p w14:paraId="02D044C2" w14:textId="77777777" w:rsidR="00FA2BDA" w:rsidRDefault="00FA2BDA"/>
    <w:p w14:paraId="0AEA8186" w14:textId="77777777" w:rsidR="00FA2BDA" w:rsidRDefault="0061149C">
      <w:pPr>
        <w:keepNext/>
        <w:spacing w:line="240" w:lineRule="auto"/>
        <w:jc w:val="center"/>
      </w:pPr>
      <w:r>
        <w:rPr>
          <w:sz w:val="28"/>
        </w:rPr>
        <w:t>B</w:t>
      </w:r>
      <w:r>
        <w:rPr>
          <w:sz w:val="28"/>
        </w:rPr>
        <w:t>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4ECEA30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177AA40"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6CB4F67"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0B1FE22"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76F1E6A"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CEEADF7"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B94996C" w14:textId="77777777" w:rsidR="00FA2BDA" w:rsidRDefault="0061149C">
            <w:pPr>
              <w:keepNext/>
              <w:keepLines/>
              <w:spacing w:after="0" w:line="240" w:lineRule="auto"/>
              <w:jc w:val="center"/>
            </w:pPr>
            <w:r>
              <w:rPr>
                <w:b/>
                <w:sz w:val="18"/>
              </w:rPr>
              <w:t>Indeks (%)</w:t>
            </w:r>
          </w:p>
        </w:tc>
      </w:tr>
      <w:tr w:rsidR="00FA2BDA" w14:paraId="08CE3760" w14:textId="77777777">
        <w:tblPrEx>
          <w:tblCellMar>
            <w:top w:w="0" w:type="dxa"/>
            <w:bottom w:w="0" w:type="dxa"/>
          </w:tblCellMar>
        </w:tblPrEx>
        <w:trPr>
          <w:cantSplit/>
          <w:trHeight w:val="560"/>
        </w:trPr>
        <w:tc>
          <w:tcPr>
            <w:tcW w:w="700" w:type="dxa"/>
            <w:tcMar>
              <w:top w:w="0" w:type="dxa"/>
              <w:bottom w:w="0" w:type="dxa"/>
            </w:tcMar>
            <w:vAlign w:val="center"/>
          </w:tcPr>
          <w:p w14:paraId="6850C809" w14:textId="77777777" w:rsidR="00FA2BDA" w:rsidRDefault="0061149C">
            <w:pPr>
              <w:keepNext/>
              <w:keepLines/>
              <w:spacing w:after="0" w:line="240" w:lineRule="auto"/>
            </w:pPr>
            <w:r>
              <w:rPr>
                <w:sz w:val="18"/>
              </w:rPr>
              <w:t>6631</w:t>
            </w:r>
          </w:p>
        </w:tc>
        <w:tc>
          <w:tcPr>
            <w:tcW w:w="3180" w:type="dxa"/>
            <w:tcMar>
              <w:top w:w="0" w:type="dxa"/>
              <w:bottom w:w="0" w:type="dxa"/>
            </w:tcMar>
            <w:vAlign w:val="center"/>
          </w:tcPr>
          <w:p w14:paraId="7E16FD92" w14:textId="77777777" w:rsidR="00FA2BDA" w:rsidRDefault="0061149C">
            <w:pPr>
              <w:keepNext/>
              <w:keepLines/>
              <w:spacing w:after="0" w:line="240" w:lineRule="auto"/>
            </w:pPr>
            <w:r>
              <w:rPr>
                <w:sz w:val="18"/>
              </w:rPr>
              <w:t>Tekuće donacije</w:t>
            </w:r>
          </w:p>
        </w:tc>
        <w:tc>
          <w:tcPr>
            <w:tcW w:w="700" w:type="dxa"/>
            <w:tcMar>
              <w:top w:w="0" w:type="dxa"/>
              <w:bottom w:w="0" w:type="dxa"/>
            </w:tcMar>
            <w:vAlign w:val="center"/>
          </w:tcPr>
          <w:p w14:paraId="530AD75A" w14:textId="77777777" w:rsidR="00FA2BDA" w:rsidRDefault="0061149C">
            <w:pPr>
              <w:keepNext/>
              <w:keepLines/>
              <w:spacing w:after="0" w:line="240" w:lineRule="auto"/>
            </w:pPr>
            <w:r>
              <w:rPr>
                <w:sz w:val="18"/>
              </w:rPr>
              <w:t>6631</w:t>
            </w:r>
          </w:p>
        </w:tc>
        <w:tc>
          <w:tcPr>
            <w:tcW w:w="1860" w:type="dxa"/>
            <w:tcMar>
              <w:top w:w="0" w:type="dxa"/>
              <w:bottom w:w="0" w:type="dxa"/>
            </w:tcMar>
            <w:vAlign w:val="center"/>
          </w:tcPr>
          <w:p w14:paraId="61F487B6" w14:textId="77777777" w:rsidR="00FA2BDA" w:rsidRDefault="0061149C">
            <w:pPr>
              <w:keepNext/>
              <w:keepLines/>
              <w:spacing w:after="0" w:line="240" w:lineRule="auto"/>
              <w:jc w:val="right"/>
            </w:pPr>
            <w:r>
              <w:rPr>
                <w:sz w:val="18"/>
              </w:rPr>
              <w:t>6.930,97</w:t>
            </w:r>
          </w:p>
        </w:tc>
        <w:tc>
          <w:tcPr>
            <w:tcW w:w="1860" w:type="dxa"/>
            <w:tcMar>
              <w:top w:w="0" w:type="dxa"/>
              <w:bottom w:w="0" w:type="dxa"/>
            </w:tcMar>
            <w:vAlign w:val="center"/>
          </w:tcPr>
          <w:p w14:paraId="7D074028" w14:textId="77777777" w:rsidR="00FA2BDA" w:rsidRDefault="0061149C">
            <w:pPr>
              <w:keepNext/>
              <w:keepLines/>
              <w:spacing w:after="0" w:line="240" w:lineRule="auto"/>
              <w:jc w:val="right"/>
            </w:pPr>
            <w:r>
              <w:rPr>
                <w:sz w:val="18"/>
              </w:rPr>
              <w:t>200,00</w:t>
            </w:r>
          </w:p>
        </w:tc>
        <w:tc>
          <w:tcPr>
            <w:tcW w:w="700" w:type="dxa"/>
            <w:tcMar>
              <w:top w:w="0" w:type="dxa"/>
              <w:bottom w:w="0" w:type="dxa"/>
            </w:tcMar>
            <w:vAlign w:val="center"/>
          </w:tcPr>
          <w:p w14:paraId="1A354614" w14:textId="77777777" w:rsidR="00FA2BDA" w:rsidRDefault="0061149C">
            <w:pPr>
              <w:keepNext/>
              <w:keepLines/>
              <w:spacing w:after="0" w:line="240" w:lineRule="auto"/>
              <w:jc w:val="right"/>
            </w:pPr>
            <w:r>
              <w:rPr>
                <w:sz w:val="18"/>
              </w:rPr>
              <w:t>2,9</w:t>
            </w:r>
          </w:p>
        </w:tc>
      </w:tr>
    </w:tbl>
    <w:p w14:paraId="6A2F03A3" w14:textId="77777777" w:rsidR="00FA2BDA" w:rsidRDefault="00FA2BDA">
      <w:pPr>
        <w:spacing w:after="0"/>
      </w:pPr>
    </w:p>
    <w:p w14:paraId="28AB7309" w14:textId="77777777" w:rsidR="00FA2BDA" w:rsidRDefault="0061149C">
      <w:pPr>
        <w:spacing w:line="240" w:lineRule="auto"/>
        <w:jc w:val="both"/>
      </w:pPr>
      <w:r>
        <w:t xml:space="preserve">Tekuće donacije imaju ostvarenje od </w:t>
      </w:r>
      <w:r>
        <w:t>200,00 EUR i imaju pad indeksa u odnosu na isto razdoblje prošle godine na 2,9 jer smo jednom svaki tjedan u 2024. godini primali donaciju voća iz Kauflanda ,a ove godine smo primili samo donaciju za organizaciju Dana škole.</w:t>
      </w:r>
    </w:p>
    <w:p w14:paraId="5468EC8C" w14:textId="77777777" w:rsidR="00FA2BDA" w:rsidRDefault="00FA2BDA"/>
    <w:p w14:paraId="58478D40" w14:textId="77777777" w:rsidR="00FA2BDA" w:rsidRDefault="0061149C">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352536B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C02BAA6"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w:t>
            </w:r>
            <w:r>
              <w:rPr>
                <w:b/>
                <w:sz w:val="18"/>
              </w:rPr>
              <w:t>na</w:t>
            </w:r>
          </w:p>
        </w:tc>
        <w:tc>
          <w:tcPr>
            <w:tcW w:w="3180" w:type="dxa"/>
            <w:shd w:val="clear" w:color="auto" w:fill="E7F0F9"/>
            <w:tcMar>
              <w:top w:w="0" w:type="dxa"/>
              <w:bottom w:w="0" w:type="dxa"/>
            </w:tcMar>
            <w:vAlign w:val="center"/>
          </w:tcPr>
          <w:p w14:paraId="1FBF4973"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8717DC6"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4F2C2DD"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02A5905"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3A612A0" w14:textId="77777777" w:rsidR="00FA2BDA" w:rsidRDefault="0061149C">
            <w:pPr>
              <w:keepNext/>
              <w:keepLines/>
              <w:spacing w:after="0" w:line="240" w:lineRule="auto"/>
              <w:jc w:val="center"/>
            </w:pPr>
            <w:r>
              <w:rPr>
                <w:b/>
                <w:sz w:val="18"/>
              </w:rPr>
              <w:t>Indeks (%)</w:t>
            </w:r>
          </w:p>
        </w:tc>
      </w:tr>
      <w:tr w:rsidR="00FA2BDA" w14:paraId="2B0AFF55" w14:textId="77777777">
        <w:tblPrEx>
          <w:tblCellMar>
            <w:top w:w="0" w:type="dxa"/>
            <w:bottom w:w="0" w:type="dxa"/>
          </w:tblCellMar>
        </w:tblPrEx>
        <w:trPr>
          <w:cantSplit/>
          <w:trHeight w:val="560"/>
        </w:trPr>
        <w:tc>
          <w:tcPr>
            <w:tcW w:w="700" w:type="dxa"/>
            <w:tcMar>
              <w:top w:w="0" w:type="dxa"/>
              <w:bottom w:w="0" w:type="dxa"/>
            </w:tcMar>
            <w:vAlign w:val="center"/>
          </w:tcPr>
          <w:p w14:paraId="6FB0622B" w14:textId="77777777" w:rsidR="00FA2BDA" w:rsidRDefault="0061149C">
            <w:pPr>
              <w:keepNext/>
              <w:keepLines/>
              <w:spacing w:after="0" w:line="240" w:lineRule="auto"/>
            </w:pPr>
            <w:r>
              <w:rPr>
                <w:sz w:val="18"/>
              </w:rPr>
              <w:t>6632</w:t>
            </w:r>
          </w:p>
        </w:tc>
        <w:tc>
          <w:tcPr>
            <w:tcW w:w="3180" w:type="dxa"/>
            <w:tcMar>
              <w:top w:w="0" w:type="dxa"/>
              <w:bottom w:w="0" w:type="dxa"/>
            </w:tcMar>
            <w:vAlign w:val="center"/>
          </w:tcPr>
          <w:p w14:paraId="5CB2F019" w14:textId="77777777" w:rsidR="00FA2BDA" w:rsidRDefault="0061149C">
            <w:pPr>
              <w:keepNext/>
              <w:keepLines/>
              <w:spacing w:after="0" w:line="240" w:lineRule="auto"/>
            </w:pPr>
            <w:r>
              <w:rPr>
                <w:sz w:val="18"/>
              </w:rPr>
              <w:t>Kapitalne donacije</w:t>
            </w:r>
          </w:p>
        </w:tc>
        <w:tc>
          <w:tcPr>
            <w:tcW w:w="700" w:type="dxa"/>
            <w:tcMar>
              <w:top w:w="0" w:type="dxa"/>
              <w:bottom w:w="0" w:type="dxa"/>
            </w:tcMar>
            <w:vAlign w:val="center"/>
          </w:tcPr>
          <w:p w14:paraId="57B1DF40" w14:textId="77777777" w:rsidR="00FA2BDA" w:rsidRDefault="0061149C">
            <w:pPr>
              <w:keepNext/>
              <w:keepLines/>
              <w:spacing w:after="0" w:line="240" w:lineRule="auto"/>
            </w:pPr>
            <w:r>
              <w:rPr>
                <w:sz w:val="18"/>
              </w:rPr>
              <w:t>6632</w:t>
            </w:r>
          </w:p>
        </w:tc>
        <w:tc>
          <w:tcPr>
            <w:tcW w:w="1860" w:type="dxa"/>
            <w:tcMar>
              <w:top w:w="0" w:type="dxa"/>
              <w:bottom w:w="0" w:type="dxa"/>
            </w:tcMar>
            <w:vAlign w:val="center"/>
          </w:tcPr>
          <w:p w14:paraId="5DCE70DE" w14:textId="77777777" w:rsidR="00FA2BDA" w:rsidRDefault="0061149C">
            <w:pPr>
              <w:keepNext/>
              <w:keepLines/>
              <w:spacing w:after="0" w:line="240" w:lineRule="auto"/>
              <w:jc w:val="right"/>
            </w:pPr>
            <w:r>
              <w:rPr>
                <w:sz w:val="18"/>
              </w:rPr>
              <w:t>500,00</w:t>
            </w:r>
          </w:p>
        </w:tc>
        <w:tc>
          <w:tcPr>
            <w:tcW w:w="1860" w:type="dxa"/>
            <w:tcMar>
              <w:top w:w="0" w:type="dxa"/>
              <w:bottom w:w="0" w:type="dxa"/>
            </w:tcMar>
            <w:vAlign w:val="center"/>
          </w:tcPr>
          <w:p w14:paraId="53CCCD96" w14:textId="77777777" w:rsidR="00FA2BDA" w:rsidRDefault="0061149C">
            <w:pPr>
              <w:keepNext/>
              <w:keepLines/>
              <w:spacing w:after="0" w:line="240" w:lineRule="auto"/>
              <w:jc w:val="right"/>
            </w:pPr>
            <w:r>
              <w:rPr>
                <w:sz w:val="18"/>
              </w:rPr>
              <w:t>1.860,00</w:t>
            </w:r>
          </w:p>
        </w:tc>
        <w:tc>
          <w:tcPr>
            <w:tcW w:w="700" w:type="dxa"/>
            <w:tcMar>
              <w:top w:w="0" w:type="dxa"/>
              <w:bottom w:w="0" w:type="dxa"/>
            </w:tcMar>
            <w:vAlign w:val="center"/>
          </w:tcPr>
          <w:p w14:paraId="72F7E4A2" w14:textId="77777777" w:rsidR="00FA2BDA" w:rsidRDefault="0061149C">
            <w:pPr>
              <w:keepNext/>
              <w:keepLines/>
              <w:spacing w:after="0" w:line="240" w:lineRule="auto"/>
              <w:jc w:val="right"/>
            </w:pPr>
            <w:r>
              <w:rPr>
                <w:sz w:val="18"/>
              </w:rPr>
              <w:t>372,0</w:t>
            </w:r>
          </w:p>
        </w:tc>
      </w:tr>
    </w:tbl>
    <w:p w14:paraId="5FF229AF" w14:textId="77777777" w:rsidR="00FA2BDA" w:rsidRDefault="00FA2BDA">
      <w:pPr>
        <w:spacing w:after="0"/>
      </w:pPr>
    </w:p>
    <w:p w14:paraId="6835F530" w14:textId="77777777" w:rsidR="00FA2BDA" w:rsidRDefault="0061149C">
      <w:pPr>
        <w:spacing w:line="240" w:lineRule="auto"/>
        <w:jc w:val="both"/>
      </w:pPr>
      <w:r>
        <w:t xml:space="preserve">Kapitalne donacije imaju stanje od 1.860,00 EUR te rast </w:t>
      </w:r>
      <w:r>
        <w:t>indeksa na 372,0 jer smo ove godine osim donacije od AO primili i donaciju od HFS-a po provedenom natječaju.</w:t>
      </w:r>
    </w:p>
    <w:p w14:paraId="790C31BD" w14:textId="77777777" w:rsidR="00FA2BDA" w:rsidRDefault="00FA2BDA"/>
    <w:p w14:paraId="63DD10CD" w14:textId="77777777" w:rsidR="00FA2BDA" w:rsidRDefault="0061149C">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789F6B7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2DA6D1A"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098561E"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F2C5DF0"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41CC45D"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EA5F2B0" w14:textId="77777777" w:rsidR="00FA2BDA" w:rsidRDefault="0061149C">
            <w:pPr>
              <w:keepNext/>
              <w:keepLines/>
              <w:spacing w:after="0" w:line="240" w:lineRule="auto"/>
              <w:jc w:val="center"/>
            </w:pPr>
            <w:r>
              <w:rPr>
                <w:b/>
                <w:sz w:val="18"/>
              </w:rPr>
              <w:t>Ostvareno u izvještajnom razdoblju tekuće g</w:t>
            </w:r>
            <w:r>
              <w:rPr>
                <w:b/>
                <w:sz w:val="18"/>
              </w:rPr>
              <w:t>odine</w:t>
            </w:r>
          </w:p>
        </w:tc>
        <w:tc>
          <w:tcPr>
            <w:tcW w:w="700" w:type="dxa"/>
            <w:shd w:val="clear" w:color="auto" w:fill="E7F0F9"/>
            <w:tcMar>
              <w:top w:w="0" w:type="dxa"/>
              <w:bottom w:w="0" w:type="dxa"/>
            </w:tcMar>
            <w:vAlign w:val="center"/>
          </w:tcPr>
          <w:p w14:paraId="2F5C07AE" w14:textId="77777777" w:rsidR="00FA2BDA" w:rsidRDefault="0061149C">
            <w:pPr>
              <w:keepNext/>
              <w:keepLines/>
              <w:spacing w:after="0" w:line="240" w:lineRule="auto"/>
              <w:jc w:val="center"/>
            </w:pPr>
            <w:r>
              <w:rPr>
                <w:b/>
                <w:sz w:val="18"/>
              </w:rPr>
              <w:t>Indeks (%)</w:t>
            </w:r>
          </w:p>
        </w:tc>
      </w:tr>
      <w:tr w:rsidR="00FA2BDA" w14:paraId="5F141434" w14:textId="77777777">
        <w:tblPrEx>
          <w:tblCellMar>
            <w:top w:w="0" w:type="dxa"/>
            <w:bottom w:w="0" w:type="dxa"/>
          </w:tblCellMar>
        </w:tblPrEx>
        <w:trPr>
          <w:cantSplit/>
          <w:trHeight w:val="560"/>
        </w:trPr>
        <w:tc>
          <w:tcPr>
            <w:tcW w:w="700" w:type="dxa"/>
            <w:tcMar>
              <w:top w:w="0" w:type="dxa"/>
              <w:bottom w:w="0" w:type="dxa"/>
            </w:tcMar>
            <w:vAlign w:val="center"/>
          </w:tcPr>
          <w:p w14:paraId="16EA7220" w14:textId="77777777" w:rsidR="00FA2BDA" w:rsidRDefault="0061149C">
            <w:pPr>
              <w:keepNext/>
              <w:keepLines/>
              <w:spacing w:after="0" w:line="240" w:lineRule="auto"/>
            </w:pPr>
            <w:r>
              <w:rPr>
                <w:sz w:val="18"/>
              </w:rPr>
              <w:t>6711</w:t>
            </w:r>
          </w:p>
        </w:tc>
        <w:tc>
          <w:tcPr>
            <w:tcW w:w="3180" w:type="dxa"/>
            <w:tcMar>
              <w:top w:w="0" w:type="dxa"/>
              <w:bottom w:w="0" w:type="dxa"/>
            </w:tcMar>
            <w:vAlign w:val="center"/>
          </w:tcPr>
          <w:p w14:paraId="3B28EA9A" w14:textId="77777777" w:rsidR="00FA2BDA" w:rsidRDefault="0061149C">
            <w:pPr>
              <w:keepNext/>
              <w:keepLines/>
              <w:spacing w:after="0" w:line="240" w:lineRule="auto"/>
            </w:pPr>
            <w:r>
              <w:rPr>
                <w:sz w:val="18"/>
              </w:rPr>
              <w:t>Prihodi iz nadležnog proračuna za financiranje rashoda poslovanja</w:t>
            </w:r>
          </w:p>
        </w:tc>
        <w:tc>
          <w:tcPr>
            <w:tcW w:w="700" w:type="dxa"/>
            <w:tcMar>
              <w:top w:w="0" w:type="dxa"/>
              <w:bottom w:w="0" w:type="dxa"/>
            </w:tcMar>
            <w:vAlign w:val="center"/>
          </w:tcPr>
          <w:p w14:paraId="2BBCD988" w14:textId="77777777" w:rsidR="00FA2BDA" w:rsidRDefault="0061149C">
            <w:pPr>
              <w:keepNext/>
              <w:keepLines/>
              <w:spacing w:after="0" w:line="240" w:lineRule="auto"/>
            </w:pPr>
            <w:r>
              <w:rPr>
                <w:sz w:val="18"/>
              </w:rPr>
              <w:t>6711</w:t>
            </w:r>
          </w:p>
        </w:tc>
        <w:tc>
          <w:tcPr>
            <w:tcW w:w="1860" w:type="dxa"/>
            <w:tcMar>
              <w:top w:w="0" w:type="dxa"/>
              <w:bottom w:w="0" w:type="dxa"/>
            </w:tcMar>
            <w:vAlign w:val="center"/>
          </w:tcPr>
          <w:p w14:paraId="06F20A1B" w14:textId="77777777" w:rsidR="00FA2BDA" w:rsidRDefault="0061149C">
            <w:pPr>
              <w:keepNext/>
              <w:keepLines/>
              <w:spacing w:after="0" w:line="240" w:lineRule="auto"/>
              <w:jc w:val="right"/>
            </w:pPr>
            <w:r>
              <w:rPr>
                <w:sz w:val="18"/>
              </w:rPr>
              <w:t>229.375,27</w:t>
            </w:r>
          </w:p>
        </w:tc>
        <w:tc>
          <w:tcPr>
            <w:tcW w:w="1860" w:type="dxa"/>
            <w:tcMar>
              <w:top w:w="0" w:type="dxa"/>
              <w:bottom w:w="0" w:type="dxa"/>
            </w:tcMar>
            <w:vAlign w:val="center"/>
          </w:tcPr>
          <w:p w14:paraId="0E7A5D2B" w14:textId="77777777" w:rsidR="00FA2BDA" w:rsidRDefault="0061149C">
            <w:pPr>
              <w:keepNext/>
              <w:keepLines/>
              <w:spacing w:after="0" w:line="240" w:lineRule="auto"/>
              <w:jc w:val="right"/>
            </w:pPr>
            <w:r>
              <w:rPr>
                <w:sz w:val="18"/>
              </w:rPr>
              <w:t>271.777,38</w:t>
            </w:r>
          </w:p>
        </w:tc>
        <w:tc>
          <w:tcPr>
            <w:tcW w:w="700" w:type="dxa"/>
            <w:tcMar>
              <w:top w:w="0" w:type="dxa"/>
              <w:bottom w:w="0" w:type="dxa"/>
            </w:tcMar>
            <w:vAlign w:val="center"/>
          </w:tcPr>
          <w:p w14:paraId="0754E64F" w14:textId="77777777" w:rsidR="00FA2BDA" w:rsidRDefault="0061149C">
            <w:pPr>
              <w:keepNext/>
              <w:keepLines/>
              <w:spacing w:after="0" w:line="240" w:lineRule="auto"/>
              <w:jc w:val="right"/>
            </w:pPr>
            <w:r>
              <w:rPr>
                <w:sz w:val="18"/>
              </w:rPr>
              <w:t>118,5</w:t>
            </w:r>
          </w:p>
        </w:tc>
      </w:tr>
    </w:tbl>
    <w:p w14:paraId="2057EEE0" w14:textId="77777777" w:rsidR="00FA2BDA" w:rsidRDefault="00FA2BDA">
      <w:pPr>
        <w:spacing w:after="0"/>
      </w:pPr>
    </w:p>
    <w:p w14:paraId="6873D500" w14:textId="77777777" w:rsidR="00FA2BDA" w:rsidRDefault="0061149C">
      <w:pPr>
        <w:spacing w:line="240" w:lineRule="auto"/>
        <w:jc w:val="both"/>
      </w:pPr>
      <w:r>
        <w:t xml:space="preserve">Prihodi iz nadležnog proračuna za financiranje rashoda poslovanja ostvareni su u iznosu od 271.777,38 EUR i bilježe rast </w:t>
      </w:r>
      <w:r>
        <w:t>indeksa na  118,5 najviše  zbog toga što su u 2025. godini narasli troškovi prijevoza učenika i energije, a imali smo i za podmiriti u 2025. godini duplo veći metodološki manjak nego u 2024. godini.</w:t>
      </w:r>
    </w:p>
    <w:p w14:paraId="3EBF41BC" w14:textId="77777777" w:rsidR="00FA2BDA" w:rsidRDefault="00FA2BDA"/>
    <w:p w14:paraId="4A498FE1" w14:textId="77777777" w:rsidR="00FA2BDA" w:rsidRDefault="0061149C">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7199F14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32188A1"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8832C74"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B4D3F2D"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D7D7471"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0E8FDBF"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55B7B68" w14:textId="77777777" w:rsidR="00FA2BDA" w:rsidRDefault="0061149C">
            <w:pPr>
              <w:keepNext/>
              <w:keepLines/>
              <w:spacing w:after="0" w:line="240" w:lineRule="auto"/>
              <w:jc w:val="center"/>
            </w:pPr>
            <w:r>
              <w:rPr>
                <w:b/>
                <w:sz w:val="18"/>
              </w:rPr>
              <w:t>Indeks (%)</w:t>
            </w:r>
          </w:p>
        </w:tc>
      </w:tr>
      <w:tr w:rsidR="00FA2BDA" w14:paraId="65E259E0" w14:textId="77777777">
        <w:tblPrEx>
          <w:tblCellMar>
            <w:top w:w="0" w:type="dxa"/>
            <w:bottom w:w="0" w:type="dxa"/>
          </w:tblCellMar>
        </w:tblPrEx>
        <w:trPr>
          <w:cantSplit/>
          <w:trHeight w:val="560"/>
        </w:trPr>
        <w:tc>
          <w:tcPr>
            <w:tcW w:w="700" w:type="dxa"/>
            <w:tcMar>
              <w:top w:w="0" w:type="dxa"/>
              <w:bottom w:w="0" w:type="dxa"/>
            </w:tcMar>
            <w:vAlign w:val="center"/>
          </w:tcPr>
          <w:p w14:paraId="39CA79AD" w14:textId="77777777" w:rsidR="00FA2BDA" w:rsidRDefault="0061149C">
            <w:pPr>
              <w:keepNext/>
              <w:keepLines/>
              <w:spacing w:after="0" w:line="240" w:lineRule="auto"/>
            </w:pPr>
            <w:r>
              <w:rPr>
                <w:sz w:val="18"/>
              </w:rPr>
              <w:t>6712</w:t>
            </w:r>
          </w:p>
        </w:tc>
        <w:tc>
          <w:tcPr>
            <w:tcW w:w="3180" w:type="dxa"/>
            <w:tcMar>
              <w:top w:w="0" w:type="dxa"/>
              <w:bottom w:w="0" w:type="dxa"/>
            </w:tcMar>
            <w:vAlign w:val="center"/>
          </w:tcPr>
          <w:p w14:paraId="27AABAF0" w14:textId="77777777" w:rsidR="00FA2BDA" w:rsidRDefault="0061149C">
            <w:pPr>
              <w:keepNext/>
              <w:keepLines/>
              <w:spacing w:after="0" w:line="240" w:lineRule="auto"/>
            </w:pPr>
            <w:r>
              <w:rPr>
                <w:sz w:val="18"/>
              </w:rPr>
              <w:t>Prihodi iz nadležnog proračuna za financiranje rashoda za nabavu nefinancijske imovine</w:t>
            </w:r>
          </w:p>
        </w:tc>
        <w:tc>
          <w:tcPr>
            <w:tcW w:w="700" w:type="dxa"/>
            <w:tcMar>
              <w:top w:w="0" w:type="dxa"/>
              <w:bottom w:w="0" w:type="dxa"/>
            </w:tcMar>
            <w:vAlign w:val="center"/>
          </w:tcPr>
          <w:p w14:paraId="5BD261E7" w14:textId="77777777" w:rsidR="00FA2BDA" w:rsidRDefault="0061149C">
            <w:pPr>
              <w:keepNext/>
              <w:keepLines/>
              <w:spacing w:after="0" w:line="240" w:lineRule="auto"/>
            </w:pPr>
            <w:r>
              <w:rPr>
                <w:sz w:val="18"/>
              </w:rPr>
              <w:t>6712</w:t>
            </w:r>
          </w:p>
        </w:tc>
        <w:tc>
          <w:tcPr>
            <w:tcW w:w="1860" w:type="dxa"/>
            <w:tcMar>
              <w:top w:w="0" w:type="dxa"/>
              <w:bottom w:w="0" w:type="dxa"/>
            </w:tcMar>
            <w:vAlign w:val="center"/>
          </w:tcPr>
          <w:p w14:paraId="3102B728" w14:textId="77777777" w:rsidR="00FA2BDA" w:rsidRDefault="0061149C">
            <w:pPr>
              <w:keepNext/>
              <w:keepLines/>
              <w:spacing w:after="0" w:line="240" w:lineRule="auto"/>
              <w:jc w:val="right"/>
            </w:pPr>
            <w:r>
              <w:rPr>
                <w:sz w:val="18"/>
              </w:rPr>
              <w:t>11.267,28</w:t>
            </w:r>
          </w:p>
        </w:tc>
        <w:tc>
          <w:tcPr>
            <w:tcW w:w="1860" w:type="dxa"/>
            <w:tcMar>
              <w:top w:w="0" w:type="dxa"/>
              <w:bottom w:w="0" w:type="dxa"/>
            </w:tcMar>
            <w:vAlign w:val="center"/>
          </w:tcPr>
          <w:p w14:paraId="50394402" w14:textId="77777777" w:rsidR="00FA2BDA" w:rsidRDefault="0061149C">
            <w:pPr>
              <w:keepNext/>
              <w:keepLines/>
              <w:spacing w:after="0" w:line="240" w:lineRule="auto"/>
              <w:jc w:val="right"/>
            </w:pPr>
            <w:r>
              <w:rPr>
                <w:sz w:val="18"/>
              </w:rPr>
              <w:t>103,01</w:t>
            </w:r>
          </w:p>
        </w:tc>
        <w:tc>
          <w:tcPr>
            <w:tcW w:w="700" w:type="dxa"/>
            <w:tcMar>
              <w:top w:w="0" w:type="dxa"/>
              <w:bottom w:w="0" w:type="dxa"/>
            </w:tcMar>
            <w:vAlign w:val="center"/>
          </w:tcPr>
          <w:p w14:paraId="3FF2EFB2" w14:textId="77777777" w:rsidR="00FA2BDA" w:rsidRDefault="0061149C">
            <w:pPr>
              <w:keepNext/>
              <w:keepLines/>
              <w:spacing w:after="0" w:line="240" w:lineRule="auto"/>
              <w:jc w:val="right"/>
            </w:pPr>
            <w:r>
              <w:rPr>
                <w:sz w:val="18"/>
              </w:rPr>
              <w:t>0,9</w:t>
            </w:r>
          </w:p>
        </w:tc>
      </w:tr>
    </w:tbl>
    <w:p w14:paraId="379EDAE4" w14:textId="77777777" w:rsidR="00FA2BDA" w:rsidRDefault="00FA2BDA">
      <w:pPr>
        <w:spacing w:after="0"/>
      </w:pPr>
    </w:p>
    <w:p w14:paraId="6440219C" w14:textId="77777777" w:rsidR="00FA2BDA" w:rsidRDefault="0061149C">
      <w:pPr>
        <w:spacing w:line="240" w:lineRule="auto"/>
        <w:jc w:val="both"/>
      </w:pPr>
      <w:r>
        <w:lastRenderedPageBreak/>
        <w:t xml:space="preserve">Prihodi iz </w:t>
      </w:r>
      <w:r>
        <w:t xml:space="preserve">nadležnog proračuna za financiranje rashoda za nabavu nefinancijske imovine imaju ostvarenje od 103,01 EUR te bilježe pad indeksa na 0,9 jer smo prošle godine knjižili prihod za priključak mreže na distribucijsku mrežu u MŠ u iznosu od 1.981,53 EUR, a ove </w:t>
      </w:r>
      <w:r>
        <w:t xml:space="preserve">godine smo knjižili prihod za priključak mreže na distribucijsku mrežu u PŠ Starigrad u iznosu od 103,01 EUR. Također je u 2024. godini u istom razdoblju završena nabava namještaja te je knjižen za to rashod, a ove godine pokrećemo nabavu namještaja nakon </w:t>
      </w:r>
      <w:r>
        <w:t>I. Izmjena Financijskog plana, u drugom polugodištu godine.</w:t>
      </w:r>
    </w:p>
    <w:p w14:paraId="0B565423" w14:textId="77777777" w:rsidR="00FA2BDA" w:rsidRDefault="00FA2BDA"/>
    <w:p w14:paraId="09E67CDD" w14:textId="77777777" w:rsidR="00FA2BDA" w:rsidRDefault="0061149C">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52441C9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A50DBF6"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B13569E"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FEEB49A"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393638B"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85E9F0B"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10830C8" w14:textId="77777777" w:rsidR="00FA2BDA" w:rsidRDefault="0061149C">
            <w:pPr>
              <w:keepNext/>
              <w:keepLines/>
              <w:spacing w:after="0" w:line="240" w:lineRule="auto"/>
              <w:jc w:val="center"/>
            </w:pPr>
            <w:r>
              <w:rPr>
                <w:b/>
                <w:sz w:val="18"/>
              </w:rPr>
              <w:t>Indeks (%)</w:t>
            </w:r>
          </w:p>
        </w:tc>
      </w:tr>
      <w:tr w:rsidR="00FA2BDA" w14:paraId="6D9E206F" w14:textId="77777777">
        <w:tblPrEx>
          <w:tblCellMar>
            <w:top w:w="0" w:type="dxa"/>
            <w:bottom w:w="0" w:type="dxa"/>
          </w:tblCellMar>
        </w:tblPrEx>
        <w:trPr>
          <w:cantSplit/>
          <w:trHeight w:val="560"/>
        </w:trPr>
        <w:tc>
          <w:tcPr>
            <w:tcW w:w="700" w:type="dxa"/>
            <w:tcMar>
              <w:top w:w="0" w:type="dxa"/>
              <w:bottom w:w="0" w:type="dxa"/>
            </w:tcMar>
            <w:vAlign w:val="center"/>
          </w:tcPr>
          <w:p w14:paraId="1A095540" w14:textId="77777777" w:rsidR="00FA2BDA" w:rsidRDefault="0061149C">
            <w:pPr>
              <w:keepNext/>
              <w:keepLines/>
              <w:spacing w:after="0" w:line="240" w:lineRule="auto"/>
            </w:pPr>
            <w:r>
              <w:rPr>
                <w:sz w:val="18"/>
              </w:rPr>
              <w:t>683</w:t>
            </w:r>
          </w:p>
        </w:tc>
        <w:tc>
          <w:tcPr>
            <w:tcW w:w="3180" w:type="dxa"/>
            <w:tcMar>
              <w:top w:w="0" w:type="dxa"/>
              <w:bottom w:w="0" w:type="dxa"/>
            </w:tcMar>
            <w:vAlign w:val="center"/>
          </w:tcPr>
          <w:p w14:paraId="731838E9" w14:textId="77777777" w:rsidR="00FA2BDA" w:rsidRDefault="0061149C">
            <w:pPr>
              <w:keepNext/>
              <w:keepLines/>
              <w:spacing w:after="0" w:line="240" w:lineRule="auto"/>
            </w:pPr>
            <w:r>
              <w:rPr>
                <w:sz w:val="18"/>
              </w:rPr>
              <w:t>Ostali prihodi</w:t>
            </w:r>
          </w:p>
        </w:tc>
        <w:tc>
          <w:tcPr>
            <w:tcW w:w="700" w:type="dxa"/>
            <w:tcMar>
              <w:top w:w="0" w:type="dxa"/>
              <w:bottom w:w="0" w:type="dxa"/>
            </w:tcMar>
            <w:vAlign w:val="center"/>
          </w:tcPr>
          <w:p w14:paraId="034C397C" w14:textId="77777777" w:rsidR="00FA2BDA" w:rsidRDefault="0061149C">
            <w:pPr>
              <w:keepNext/>
              <w:keepLines/>
              <w:spacing w:after="0" w:line="240" w:lineRule="auto"/>
            </w:pPr>
            <w:r>
              <w:rPr>
                <w:sz w:val="18"/>
              </w:rPr>
              <w:t>683</w:t>
            </w:r>
          </w:p>
        </w:tc>
        <w:tc>
          <w:tcPr>
            <w:tcW w:w="1860" w:type="dxa"/>
            <w:tcMar>
              <w:top w:w="0" w:type="dxa"/>
              <w:bottom w:w="0" w:type="dxa"/>
            </w:tcMar>
            <w:vAlign w:val="center"/>
          </w:tcPr>
          <w:p w14:paraId="1E4600D2" w14:textId="77777777" w:rsidR="00FA2BDA" w:rsidRDefault="0061149C">
            <w:pPr>
              <w:keepNext/>
              <w:keepLines/>
              <w:spacing w:after="0" w:line="240" w:lineRule="auto"/>
              <w:jc w:val="right"/>
            </w:pPr>
            <w:r>
              <w:rPr>
                <w:sz w:val="18"/>
              </w:rPr>
              <w:t>0,00</w:t>
            </w:r>
          </w:p>
        </w:tc>
        <w:tc>
          <w:tcPr>
            <w:tcW w:w="1860" w:type="dxa"/>
            <w:tcMar>
              <w:top w:w="0" w:type="dxa"/>
              <w:bottom w:w="0" w:type="dxa"/>
            </w:tcMar>
            <w:vAlign w:val="center"/>
          </w:tcPr>
          <w:p w14:paraId="7E9A49A9" w14:textId="77777777" w:rsidR="00FA2BDA" w:rsidRDefault="0061149C">
            <w:pPr>
              <w:keepNext/>
              <w:keepLines/>
              <w:spacing w:after="0" w:line="240" w:lineRule="auto"/>
              <w:jc w:val="right"/>
            </w:pPr>
            <w:r>
              <w:rPr>
                <w:sz w:val="18"/>
              </w:rPr>
              <w:t>150,00</w:t>
            </w:r>
          </w:p>
        </w:tc>
        <w:tc>
          <w:tcPr>
            <w:tcW w:w="700" w:type="dxa"/>
            <w:tcMar>
              <w:top w:w="0" w:type="dxa"/>
              <w:bottom w:w="0" w:type="dxa"/>
            </w:tcMar>
            <w:vAlign w:val="center"/>
          </w:tcPr>
          <w:p w14:paraId="0008D348" w14:textId="77777777" w:rsidR="00FA2BDA" w:rsidRDefault="0061149C">
            <w:pPr>
              <w:keepNext/>
              <w:keepLines/>
              <w:spacing w:after="0" w:line="240" w:lineRule="auto"/>
              <w:jc w:val="right"/>
            </w:pPr>
            <w:r>
              <w:rPr>
                <w:sz w:val="18"/>
              </w:rPr>
              <w:t>-</w:t>
            </w:r>
          </w:p>
        </w:tc>
      </w:tr>
    </w:tbl>
    <w:p w14:paraId="664F33C4" w14:textId="77777777" w:rsidR="00FA2BDA" w:rsidRDefault="00FA2BDA">
      <w:pPr>
        <w:spacing w:after="0"/>
      </w:pPr>
    </w:p>
    <w:p w14:paraId="0781CDFC" w14:textId="77777777" w:rsidR="00FA2BDA" w:rsidRDefault="0061149C">
      <w:pPr>
        <w:spacing w:line="240" w:lineRule="auto"/>
        <w:jc w:val="both"/>
      </w:pPr>
      <w:r>
        <w:t xml:space="preserve">Ostali prihodi imaju ostvarenje od 150,00 EUR u odnosu na 2024. godinu kad je stanje bilo 0,00 EUR jer smo u 2025. godini naplatili ovrhe za školsku kuhinju te smo naplatili i trošak javnog bilježnika koji smo imali kod pokretanja ovrhe te </w:t>
      </w:r>
      <w:r>
        <w:t>smo taj prihod knjižili na ostale prihode.</w:t>
      </w:r>
    </w:p>
    <w:p w14:paraId="19C7DF9E" w14:textId="77777777" w:rsidR="00FA2BDA" w:rsidRDefault="00FA2BDA"/>
    <w:p w14:paraId="23DA642D" w14:textId="77777777" w:rsidR="00FA2BDA" w:rsidRDefault="0061149C">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2BEB327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C41D988"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542FF4F"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6496FCA"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A52560C"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3BBF701"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CFFC9BC" w14:textId="77777777" w:rsidR="00FA2BDA" w:rsidRDefault="0061149C">
            <w:pPr>
              <w:keepNext/>
              <w:keepLines/>
              <w:spacing w:after="0" w:line="240" w:lineRule="auto"/>
              <w:jc w:val="center"/>
            </w:pPr>
            <w:r>
              <w:rPr>
                <w:b/>
                <w:sz w:val="18"/>
              </w:rPr>
              <w:t>Indeks (%)</w:t>
            </w:r>
          </w:p>
        </w:tc>
      </w:tr>
      <w:tr w:rsidR="00FA2BDA" w14:paraId="28DB83EC" w14:textId="77777777">
        <w:tblPrEx>
          <w:tblCellMar>
            <w:top w:w="0" w:type="dxa"/>
            <w:bottom w:w="0" w:type="dxa"/>
          </w:tblCellMar>
        </w:tblPrEx>
        <w:trPr>
          <w:cantSplit/>
          <w:trHeight w:val="560"/>
        </w:trPr>
        <w:tc>
          <w:tcPr>
            <w:tcW w:w="700" w:type="dxa"/>
            <w:tcMar>
              <w:top w:w="0" w:type="dxa"/>
              <w:bottom w:w="0" w:type="dxa"/>
            </w:tcMar>
            <w:vAlign w:val="center"/>
          </w:tcPr>
          <w:p w14:paraId="78FC2B7D" w14:textId="77777777" w:rsidR="00FA2BDA" w:rsidRDefault="0061149C">
            <w:pPr>
              <w:keepNext/>
              <w:keepLines/>
              <w:spacing w:after="0" w:line="240" w:lineRule="auto"/>
            </w:pPr>
            <w:r>
              <w:rPr>
                <w:sz w:val="18"/>
              </w:rPr>
              <w:t>3111</w:t>
            </w:r>
          </w:p>
        </w:tc>
        <w:tc>
          <w:tcPr>
            <w:tcW w:w="3180" w:type="dxa"/>
            <w:tcMar>
              <w:top w:w="0" w:type="dxa"/>
              <w:bottom w:w="0" w:type="dxa"/>
            </w:tcMar>
            <w:vAlign w:val="center"/>
          </w:tcPr>
          <w:p w14:paraId="7D1D4AF3" w14:textId="77777777" w:rsidR="00FA2BDA" w:rsidRDefault="0061149C">
            <w:pPr>
              <w:keepNext/>
              <w:keepLines/>
              <w:spacing w:after="0" w:line="240" w:lineRule="auto"/>
            </w:pPr>
            <w:r>
              <w:rPr>
                <w:sz w:val="18"/>
              </w:rPr>
              <w:t>Plaće za redovan rad</w:t>
            </w:r>
          </w:p>
        </w:tc>
        <w:tc>
          <w:tcPr>
            <w:tcW w:w="700" w:type="dxa"/>
            <w:tcMar>
              <w:top w:w="0" w:type="dxa"/>
              <w:bottom w:w="0" w:type="dxa"/>
            </w:tcMar>
            <w:vAlign w:val="center"/>
          </w:tcPr>
          <w:p w14:paraId="67D145E2" w14:textId="77777777" w:rsidR="00FA2BDA" w:rsidRDefault="0061149C">
            <w:pPr>
              <w:keepNext/>
              <w:keepLines/>
              <w:spacing w:after="0" w:line="240" w:lineRule="auto"/>
            </w:pPr>
            <w:r>
              <w:rPr>
                <w:sz w:val="18"/>
              </w:rPr>
              <w:t>3111</w:t>
            </w:r>
          </w:p>
        </w:tc>
        <w:tc>
          <w:tcPr>
            <w:tcW w:w="1860" w:type="dxa"/>
            <w:tcMar>
              <w:top w:w="0" w:type="dxa"/>
              <w:bottom w:w="0" w:type="dxa"/>
            </w:tcMar>
            <w:vAlign w:val="center"/>
          </w:tcPr>
          <w:p w14:paraId="6272E7CF" w14:textId="77777777" w:rsidR="00FA2BDA" w:rsidRDefault="0061149C">
            <w:pPr>
              <w:keepNext/>
              <w:keepLines/>
              <w:spacing w:after="0" w:line="240" w:lineRule="auto"/>
              <w:jc w:val="right"/>
            </w:pPr>
            <w:r>
              <w:rPr>
                <w:sz w:val="18"/>
              </w:rPr>
              <w:t>972.175,15</w:t>
            </w:r>
          </w:p>
        </w:tc>
        <w:tc>
          <w:tcPr>
            <w:tcW w:w="1860" w:type="dxa"/>
            <w:tcMar>
              <w:top w:w="0" w:type="dxa"/>
              <w:bottom w:w="0" w:type="dxa"/>
            </w:tcMar>
            <w:vAlign w:val="center"/>
          </w:tcPr>
          <w:p w14:paraId="6D33E1F0" w14:textId="77777777" w:rsidR="00FA2BDA" w:rsidRDefault="0061149C">
            <w:pPr>
              <w:keepNext/>
              <w:keepLines/>
              <w:spacing w:after="0" w:line="240" w:lineRule="auto"/>
              <w:jc w:val="right"/>
            </w:pPr>
            <w:r>
              <w:rPr>
                <w:sz w:val="18"/>
              </w:rPr>
              <w:t>1.268.248,12</w:t>
            </w:r>
          </w:p>
        </w:tc>
        <w:tc>
          <w:tcPr>
            <w:tcW w:w="700" w:type="dxa"/>
            <w:tcMar>
              <w:top w:w="0" w:type="dxa"/>
              <w:bottom w:w="0" w:type="dxa"/>
            </w:tcMar>
            <w:vAlign w:val="center"/>
          </w:tcPr>
          <w:p w14:paraId="7A6FAA0C" w14:textId="77777777" w:rsidR="00FA2BDA" w:rsidRDefault="0061149C">
            <w:pPr>
              <w:keepNext/>
              <w:keepLines/>
              <w:spacing w:after="0" w:line="240" w:lineRule="auto"/>
              <w:jc w:val="right"/>
            </w:pPr>
            <w:r>
              <w:rPr>
                <w:sz w:val="18"/>
              </w:rPr>
              <w:t>130,5</w:t>
            </w:r>
          </w:p>
        </w:tc>
      </w:tr>
    </w:tbl>
    <w:p w14:paraId="0860CE6D" w14:textId="77777777" w:rsidR="00FA2BDA" w:rsidRDefault="00FA2BDA">
      <w:pPr>
        <w:spacing w:after="0"/>
      </w:pPr>
    </w:p>
    <w:p w14:paraId="04DBEF56" w14:textId="77777777" w:rsidR="00FA2BDA" w:rsidRDefault="0061149C">
      <w:pPr>
        <w:spacing w:line="240" w:lineRule="auto"/>
        <w:jc w:val="both"/>
      </w:pPr>
      <w:r>
        <w:t xml:space="preserve">Rashodi za Plaće za redovan rad ostvareni su u iznosu od 1.268.248,12 EUR i bilježe rast indeksa te on iznosi 130,5 zbog nove Uredbe o nazivima radnih mjesta, uvjetima za raspored i koeficijentima za obračun plaće u </w:t>
      </w:r>
      <w:r>
        <w:t>javnim službama kojom se plaća povećala svim zaposlenicima škole.</w:t>
      </w:r>
    </w:p>
    <w:p w14:paraId="04797184" w14:textId="77777777" w:rsidR="00FA2BDA" w:rsidRDefault="00FA2BDA"/>
    <w:p w14:paraId="42047C11" w14:textId="77777777" w:rsidR="00FA2BDA" w:rsidRDefault="0061149C">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1E4EDC1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1186AF9"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0CCA148"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554244B"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801229F"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E99EB47"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1E3E182" w14:textId="77777777" w:rsidR="00FA2BDA" w:rsidRDefault="0061149C">
            <w:pPr>
              <w:keepNext/>
              <w:keepLines/>
              <w:spacing w:after="0" w:line="240" w:lineRule="auto"/>
              <w:jc w:val="center"/>
            </w:pPr>
            <w:r>
              <w:rPr>
                <w:b/>
                <w:sz w:val="18"/>
              </w:rPr>
              <w:t>Indeks (%)</w:t>
            </w:r>
          </w:p>
        </w:tc>
      </w:tr>
      <w:tr w:rsidR="00FA2BDA" w14:paraId="350BCB72" w14:textId="77777777">
        <w:tblPrEx>
          <w:tblCellMar>
            <w:top w:w="0" w:type="dxa"/>
            <w:bottom w:w="0" w:type="dxa"/>
          </w:tblCellMar>
        </w:tblPrEx>
        <w:trPr>
          <w:cantSplit/>
          <w:trHeight w:val="560"/>
        </w:trPr>
        <w:tc>
          <w:tcPr>
            <w:tcW w:w="700" w:type="dxa"/>
            <w:tcMar>
              <w:top w:w="0" w:type="dxa"/>
              <w:bottom w:w="0" w:type="dxa"/>
            </w:tcMar>
            <w:vAlign w:val="center"/>
          </w:tcPr>
          <w:p w14:paraId="525F44F7" w14:textId="77777777" w:rsidR="00FA2BDA" w:rsidRDefault="0061149C">
            <w:pPr>
              <w:keepNext/>
              <w:keepLines/>
              <w:spacing w:after="0" w:line="240" w:lineRule="auto"/>
            </w:pPr>
            <w:r>
              <w:rPr>
                <w:sz w:val="18"/>
              </w:rPr>
              <w:t>3113</w:t>
            </w:r>
          </w:p>
        </w:tc>
        <w:tc>
          <w:tcPr>
            <w:tcW w:w="3180" w:type="dxa"/>
            <w:tcMar>
              <w:top w:w="0" w:type="dxa"/>
              <w:bottom w:w="0" w:type="dxa"/>
            </w:tcMar>
            <w:vAlign w:val="center"/>
          </w:tcPr>
          <w:p w14:paraId="2BE58EF3" w14:textId="77777777" w:rsidR="00FA2BDA" w:rsidRDefault="0061149C">
            <w:pPr>
              <w:keepNext/>
              <w:keepLines/>
              <w:spacing w:after="0" w:line="240" w:lineRule="auto"/>
            </w:pPr>
            <w:r>
              <w:rPr>
                <w:sz w:val="18"/>
              </w:rPr>
              <w:t xml:space="preserve">Plaće za </w:t>
            </w:r>
            <w:r>
              <w:rPr>
                <w:sz w:val="18"/>
              </w:rPr>
              <w:t>prekovremeni rad</w:t>
            </w:r>
          </w:p>
        </w:tc>
        <w:tc>
          <w:tcPr>
            <w:tcW w:w="700" w:type="dxa"/>
            <w:tcMar>
              <w:top w:w="0" w:type="dxa"/>
              <w:bottom w:w="0" w:type="dxa"/>
            </w:tcMar>
            <w:vAlign w:val="center"/>
          </w:tcPr>
          <w:p w14:paraId="20A9C43D" w14:textId="77777777" w:rsidR="00FA2BDA" w:rsidRDefault="0061149C">
            <w:pPr>
              <w:keepNext/>
              <w:keepLines/>
              <w:spacing w:after="0" w:line="240" w:lineRule="auto"/>
            </w:pPr>
            <w:r>
              <w:rPr>
                <w:sz w:val="18"/>
              </w:rPr>
              <w:t>3113</w:t>
            </w:r>
          </w:p>
        </w:tc>
        <w:tc>
          <w:tcPr>
            <w:tcW w:w="1860" w:type="dxa"/>
            <w:tcMar>
              <w:top w:w="0" w:type="dxa"/>
              <w:bottom w:w="0" w:type="dxa"/>
            </w:tcMar>
            <w:vAlign w:val="center"/>
          </w:tcPr>
          <w:p w14:paraId="2BDA2856" w14:textId="77777777" w:rsidR="00FA2BDA" w:rsidRDefault="0061149C">
            <w:pPr>
              <w:keepNext/>
              <w:keepLines/>
              <w:spacing w:after="0" w:line="240" w:lineRule="auto"/>
              <w:jc w:val="right"/>
            </w:pPr>
            <w:r>
              <w:rPr>
                <w:sz w:val="18"/>
              </w:rPr>
              <w:t>45.326,26</w:t>
            </w:r>
          </w:p>
        </w:tc>
        <w:tc>
          <w:tcPr>
            <w:tcW w:w="1860" w:type="dxa"/>
            <w:tcMar>
              <w:top w:w="0" w:type="dxa"/>
              <w:bottom w:w="0" w:type="dxa"/>
            </w:tcMar>
            <w:vAlign w:val="center"/>
          </w:tcPr>
          <w:p w14:paraId="6B4A2C5A" w14:textId="77777777" w:rsidR="00FA2BDA" w:rsidRDefault="0061149C">
            <w:pPr>
              <w:keepNext/>
              <w:keepLines/>
              <w:spacing w:after="0" w:line="240" w:lineRule="auto"/>
              <w:jc w:val="right"/>
            </w:pPr>
            <w:r>
              <w:rPr>
                <w:sz w:val="18"/>
              </w:rPr>
              <w:t>64.307,00</w:t>
            </w:r>
          </w:p>
        </w:tc>
        <w:tc>
          <w:tcPr>
            <w:tcW w:w="700" w:type="dxa"/>
            <w:tcMar>
              <w:top w:w="0" w:type="dxa"/>
              <w:bottom w:w="0" w:type="dxa"/>
            </w:tcMar>
            <w:vAlign w:val="center"/>
          </w:tcPr>
          <w:p w14:paraId="179472FB" w14:textId="77777777" w:rsidR="00FA2BDA" w:rsidRDefault="0061149C">
            <w:pPr>
              <w:keepNext/>
              <w:keepLines/>
              <w:spacing w:after="0" w:line="240" w:lineRule="auto"/>
              <w:jc w:val="right"/>
            </w:pPr>
            <w:r>
              <w:rPr>
                <w:sz w:val="18"/>
              </w:rPr>
              <w:t>141,9</w:t>
            </w:r>
          </w:p>
        </w:tc>
      </w:tr>
    </w:tbl>
    <w:p w14:paraId="20889A1A" w14:textId="77777777" w:rsidR="00FA2BDA" w:rsidRDefault="00FA2BDA">
      <w:pPr>
        <w:spacing w:after="0"/>
      </w:pPr>
    </w:p>
    <w:p w14:paraId="338C8813" w14:textId="77777777" w:rsidR="00FA2BDA" w:rsidRDefault="0061149C">
      <w:pPr>
        <w:spacing w:line="240" w:lineRule="auto"/>
        <w:jc w:val="both"/>
      </w:pPr>
      <w:r>
        <w:t>Plaće za prekovremeni rad imaju ostvarenje od 64.307,00 EUR te indeks 141,9 najvećim dijelom zbog nove Uredbe o plaći, ali i više zamjena zaposlenika.</w:t>
      </w:r>
    </w:p>
    <w:p w14:paraId="314D1652" w14:textId="77777777" w:rsidR="00FA2BDA" w:rsidRDefault="00FA2BDA"/>
    <w:p w14:paraId="755E2453" w14:textId="77777777" w:rsidR="00FA2BDA" w:rsidRDefault="0061149C">
      <w:pPr>
        <w:keepNext/>
        <w:spacing w:line="240" w:lineRule="auto"/>
        <w:jc w:val="center"/>
      </w:pPr>
      <w:r>
        <w:rPr>
          <w:sz w:val="28"/>
        </w:rPr>
        <w:lastRenderedPageBreak/>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3F8A75A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7A46A81"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996B580"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5BDB2C9"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980A735"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79B5C18"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E28D544" w14:textId="77777777" w:rsidR="00FA2BDA" w:rsidRDefault="0061149C">
            <w:pPr>
              <w:keepNext/>
              <w:keepLines/>
              <w:spacing w:after="0" w:line="240" w:lineRule="auto"/>
              <w:jc w:val="center"/>
            </w:pPr>
            <w:r>
              <w:rPr>
                <w:b/>
                <w:sz w:val="18"/>
              </w:rPr>
              <w:t>Indeks (%)</w:t>
            </w:r>
          </w:p>
        </w:tc>
      </w:tr>
      <w:tr w:rsidR="00FA2BDA" w14:paraId="6541F54C" w14:textId="77777777">
        <w:tblPrEx>
          <w:tblCellMar>
            <w:top w:w="0" w:type="dxa"/>
            <w:bottom w:w="0" w:type="dxa"/>
          </w:tblCellMar>
        </w:tblPrEx>
        <w:trPr>
          <w:cantSplit/>
          <w:trHeight w:val="560"/>
        </w:trPr>
        <w:tc>
          <w:tcPr>
            <w:tcW w:w="700" w:type="dxa"/>
            <w:tcMar>
              <w:top w:w="0" w:type="dxa"/>
              <w:bottom w:w="0" w:type="dxa"/>
            </w:tcMar>
            <w:vAlign w:val="center"/>
          </w:tcPr>
          <w:p w14:paraId="3DD093B6" w14:textId="77777777" w:rsidR="00FA2BDA" w:rsidRDefault="0061149C">
            <w:pPr>
              <w:keepNext/>
              <w:keepLines/>
              <w:spacing w:after="0" w:line="240" w:lineRule="auto"/>
            </w:pPr>
            <w:r>
              <w:rPr>
                <w:sz w:val="18"/>
              </w:rPr>
              <w:t>3114</w:t>
            </w:r>
          </w:p>
        </w:tc>
        <w:tc>
          <w:tcPr>
            <w:tcW w:w="3180" w:type="dxa"/>
            <w:tcMar>
              <w:top w:w="0" w:type="dxa"/>
              <w:bottom w:w="0" w:type="dxa"/>
            </w:tcMar>
            <w:vAlign w:val="center"/>
          </w:tcPr>
          <w:p w14:paraId="05BF7341" w14:textId="77777777" w:rsidR="00FA2BDA" w:rsidRDefault="0061149C">
            <w:pPr>
              <w:keepNext/>
              <w:keepLines/>
              <w:spacing w:after="0" w:line="240" w:lineRule="auto"/>
            </w:pPr>
            <w:r>
              <w:rPr>
                <w:sz w:val="18"/>
              </w:rPr>
              <w:t>Plaće za posebne uvjete rada</w:t>
            </w:r>
          </w:p>
        </w:tc>
        <w:tc>
          <w:tcPr>
            <w:tcW w:w="700" w:type="dxa"/>
            <w:tcMar>
              <w:top w:w="0" w:type="dxa"/>
              <w:bottom w:w="0" w:type="dxa"/>
            </w:tcMar>
            <w:vAlign w:val="center"/>
          </w:tcPr>
          <w:p w14:paraId="1CB538B1" w14:textId="77777777" w:rsidR="00FA2BDA" w:rsidRDefault="0061149C">
            <w:pPr>
              <w:keepNext/>
              <w:keepLines/>
              <w:spacing w:after="0" w:line="240" w:lineRule="auto"/>
            </w:pPr>
            <w:r>
              <w:rPr>
                <w:sz w:val="18"/>
              </w:rPr>
              <w:t>3114</w:t>
            </w:r>
          </w:p>
        </w:tc>
        <w:tc>
          <w:tcPr>
            <w:tcW w:w="1860" w:type="dxa"/>
            <w:tcMar>
              <w:top w:w="0" w:type="dxa"/>
              <w:bottom w:w="0" w:type="dxa"/>
            </w:tcMar>
            <w:vAlign w:val="center"/>
          </w:tcPr>
          <w:p w14:paraId="6F4C9AFD" w14:textId="77777777" w:rsidR="00FA2BDA" w:rsidRDefault="0061149C">
            <w:pPr>
              <w:keepNext/>
              <w:keepLines/>
              <w:spacing w:after="0" w:line="240" w:lineRule="auto"/>
              <w:jc w:val="right"/>
            </w:pPr>
            <w:r>
              <w:rPr>
                <w:sz w:val="18"/>
              </w:rPr>
              <w:t>6.061,60</w:t>
            </w:r>
          </w:p>
        </w:tc>
        <w:tc>
          <w:tcPr>
            <w:tcW w:w="1860" w:type="dxa"/>
            <w:tcMar>
              <w:top w:w="0" w:type="dxa"/>
              <w:bottom w:w="0" w:type="dxa"/>
            </w:tcMar>
            <w:vAlign w:val="center"/>
          </w:tcPr>
          <w:p w14:paraId="68E2E10E" w14:textId="77777777" w:rsidR="00FA2BDA" w:rsidRDefault="0061149C">
            <w:pPr>
              <w:keepNext/>
              <w:keepLines/>
              <w:spacing w:after="0" w:line="240" w:lineRule="auto"/>
              <w:jc w:val="right"/>
            </w:pPr>
            <w:r>
              <w:rPr>
                <w:sz w:val="18"/>
              </w:rPr>
              <w:t>8.504,14</w:t>
            </w:r>
          </w:p>
        </w:tc>
        <w:tc>
          <w:tcPr>
            <w:tcW w:w="700" w:type="dxa"/>
            <w:tcMar>
              <w:top w:w="0" w:type="dxa"/>
              <w:bottom w:w="0" w:type="dxa"/>
            </w:tcMar>
            <w:vAlign w:val="center"/>
          </w:tcPr>
          <w:p w14:paraId="62E0CDBF" w14:textId="77777777" w:rsidR="00FA2BDA" w:rsidRDefault="0061149C">
            <w:pPr>
              <w:keepNext/>
              <w:keepLines/>
              <w:spacing w:after="0" w:line="240" w:lineRule="auto"/>
              <w:jc w:val="right"/>
            </w:pPr>
            <w:r>
              <w:rPr>
                <w:sz w:val="18"/>
              </w:rPr>
              <w:t>140,3</w:t>
            </w:r>
          </w:p>
        </w:tc>
      </w:tr>
    </w:tbl>
    <w:p w14:paraId="2E6C4771" w14:textId="77777777" w:rsidR="00FA2BDA" w:rsidRDefault="00FA2BDA">
      <w:pPr>
        <w:spacing w:after="0"/>
      </w:pPr>
    </w:p>
    <w:p w14:paraId="0AFD83EF" w14:textId="77777777" w:rsidR="00FA2BDA" w:rsidRDefault="0061149C">
      <w:pPr>
        <w:spacing w:line="240" w:lineRule="auto"/>
        <w:jc w:val="both"/>
      </w:pPr>
      <w:r>
        <w:t xml:space="preserve">Plaće za posebne uvjete rada imaju ostvarenje od 8.504,14 EUR i </w:t>
      </w:r>
      <w:r>
        <w:t>bilježe rast indeksa na 140,3 također zbog nove Uredbe o plaći u javnim službama.</w:t>
      </w:r>
    </w:p>
    <w:p w14:paraId="3ABB1F0C" w14:textId="77777777" w:rsidR="00FA2BDA" w:rsidRDefault="00FA2BDA"/>
    <w:p w14:paraId="37A2E42E" w14:textId="77777777" w:rsidR="00FA2BDA" w:rsidRDefault="0061149C">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39784C4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F1883DC"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A87963D"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E9BA429"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F5985A"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FE29E6B"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3E45407" w14:textId="77777777" w:rsidR="00FA2BDA" w:rsidRDefault="0061149C">
            <w:pPr>
              <w:keepNext/>
              <w:keepLines/>
              <w:spacing w:after="0" w:line="240" w:lineRule="auto"/>
              <w:jc w:val="center"/>
            </w:pPr>
            <w:r>
              <w:rPr>
                <w:b/>
                <w:sz w:val="18"/>
              </w:rPr>
              <w:t>Indeks (%)</w:t>
            </w:r>
          </w:p>
        </w:tc>
      </w:tr>
      <w:tr w:rsidR="00FA2BDA" w14:paraId="44A03AC4" w14:textId="77777777">
        <w:tblPrEx>
          <w:tblCellMar>
            <w:top w:w="0" w:type="dxa"/>
            <w:bottom w:w="0" w:type="dxa"/>
          </w:tblCellMar>
        </w:tblPrEx>
        <w:trPr>
          <w:cantSplit/>
          <w:trHeight w:val="560"/>
        </w:trPr>
        <w:tc>
          <w:tcPr>
            <w:tcW w:w="700" w:type="dxa"/>
            <w:tcMar>
              <w:top w:w="0" w:type="dxa"/>
              <w:bottom w:w="0" w:type="dxa"/>
            </w:tcMar>
            <w:vAlign w:val="center"/>
          </w:tcPr>
          <w:p w14:paraId="57127743" w14:textId="77777777" w:rsidR="00FA2BDA" w:rsidRDefault="0061149C">
            <w:pPr>
              <w:keepNext/>
              <w:keepLines/>
              <w:spacing w:after="0" w:line="240" w:lineRule="auto"/>
            </w:pPr>
            <w:r>
              <w:rPr>
                <w:sz w:val="18"/>
              </w:rPr>
              <w:t>3132</w:t>
            </w:r>
          </w:p>
        </w:tc>
        <w:tc>
          <w:tcPr>
            <w:tcW w:w="3180" w:type="dxa"/>
            <w:tcMar>
              <w:top w:w="0" w:type="dxa"/>
              <w:bottom w:w="0" w:type="dxa"/>
            </w:tcMar>
            <w:vAlign w:val="center"/>
          </w:tcPr>
          <w:p w14:paraId="7A7625C5" w14:textId="77777777" w:rsidR="00FA2BDA" w:rsidRDefault="0061149C">
            <w:pPr>
              <w:keepNext/>
              <w:keepLines/>
              <w:spacing w:after="0" w:line="240" w:lineRule="auto"/>
            </w:pPr>
            <w:r>
              <w:rPr>
                <w:sz w:val="18"/>
              </w:rPr>
              <w:t>Doprinosi za obvezno zdravstveno osiguranje</w:t>
            </w:r>
          </w:p>
        </w:tc>
        <w:tc>
          <w:tcPr>
            <w:tcW w:w="700" w:type="dxa"/>
            <w:tcMar>
              <w:top w:w="0" w:type="dxa"/>
              <w:bottom w:w="0" w:type="dxa"/>
            </w:tcMar>
            <w:vAlign w:val="center"/>
          </w:tcPr>
          <w:p w14:paraId="2193EE01" w14:textId="77777777" w:rsidR="00FA2BDA" w:rsidRDefault="0061149C">
            <w:pPr>
              <w:keepNext/>
              <w:keepLines/>
              <w:spacing w:after="0" w:line="240" w:lineRule="auto"/>
            </w:pPr>
            <w:r>
              <w:rPr>
                <w:sz w:val="18"/>
              </w:rPr>
              <w:t>3132</w:t>
            </w:r>
          </w:p>
        </w:tc>
        <w:tc>
          <w:tcPr>
            <w:tcW w:w="1860" w:type="dxa"/>
            <w:tcMar>
              <w:top w:w="0" w:type="dxa"/>
              <w:bottom w:w="0" w:type="dxa"/>
            </w:tcMar>
            <w:vAlign w:val="center"/>
          </w:tcPr>
          <w:p w14:paraId="431E6485" w14:textId="77777777" w:rsidR="00FA2BDA" w:rsidRDefault="0061149C">
            <w:pPr>
              <w:keepNext/>
              <w:keepLines/>
              <w:spacing w:after="0" w:line="240" w:lineRule="auto"/>
              <w:jc w:val="right"/>
            </w:pPr>
            <w:r>
              <w:rPr>
                <w:sz w:val="18"/>
              </w:rPr>
              <w:t>161.175,21</w:t>
            </w:r>
          </w:p>
        </w:tc>
        <w:tc>
          <w:tcPr>
            <w:tcW w:w="1860" w:type="dxa"/>
            <w:tcMar>
              <w:top w:w="0" w:type="dxa"/>
              <w:bottom w:w="0" w:type="dxa"/>
            </w:tcMar>
            <w:vAlign w:val="center"/>
          </w:tcPr>
          <w:p w14:paraId="00031916" w14:textId="77777777" w:rsidR="00FA2BDA" w:rsidRDefault="0061149C">
            <w:pPr>
              <w:keepNext/>
              <w:keepLines/>
              <w:spacing w:after="0" w:line="240" w:lineRule="auto"/>
              <w:jc w:val="right"/>
            </w:pPr>
            <w:r>
              <w:rPr>
                <w:sz w:val="18"/>
              </w:rPr>
              <w:t>211.258,25</w:t>
            </w:r>
          </w:p>
        </w:tc>
        <w:tc>
          <w:tcPr>
            <w:tcW w:w="700" w:type="dxa"/>
            <w:tcMar>
              <w:top w:w="0" w:type="dxa"/>
              <w:bottom w:w="0" w:type="dxa"/>
            </w:tcMar>
            <w:vAlign w:val="center"/>
          </w:tcPr>
          <w:p w14:paraId="11E62182" w14:textId="77777777" w:rsidR="00FA2BDA" w:rsidRDefault="0061149C">
            <w:pPr>
              <w:keepNext/>
              <w:keepLines/>
              <w:spacing w:after="0" w:line="240" w:lineRule="auto"/>
              <w:jc w:val="right"/>
            </w:pPr>
            <w:r>
              <w:rPr>
                <w:sz w:val="18"/>
              </w:rPr>
              <w:t>131,1</w:t>
            </w:r>
          </w:p>
        </w:tc>
      </w:tr>
    </w:tbl>
    <w:p w14:paraId="51FB3DE4" w14:textId="77777777" w:rsidR="00FA2BDA" w:rsidRDefault="00FA2BDA">
      <w:pPr>
        <w:spacing w:after="0"/>
      </w:pPr>
    </w:p>
    <w:p w14:paraId="2E823D54" w14:textId="77777777" w:rsidR="00FA2BDA" w:rsidRDefault="0061149C">
      <w:pPr>
        <w:spacing w:line="240" w:lineRule="auto"/>
        <w:jc w:val="both"/>
      </w:pPr>
      <w:r>
        <w:t xml:space="preserve">Doprinosi za obvezno zdravstveno osiguranje imaju ostvarenje od 211.258,25 EUR i bilježe indeks 131,1 zbog nove Uredbe o nazivima radnih mjesta, uvjetima za raspored i </w:t>
      </w:r>
      <w:r>
        <w:t>koeficijentima za obračun plaće u javnim službama kojom se plaća povećala svim zaposlenicima škole.</w:t>
      </w:r>
    </w:p>
    <w:p w14:paraId="55778FC3" w14:textId="77777777" w:rsidR="00FA2BDA" w:rsidRDefault="00FA2BDA"/>
    <w:p w14:paraId="66D31A48" w14:textId="77777777" w:rsidR="00FA2BDA" w:rsidRDefault="0061149C">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4229287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BA43251"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52B386C"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6206FC3"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56C4E4C"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704BE3B"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C02CAC0" w14:textId="77777777" w:rsidR="00FA2BDA" w:rsidRDefault="0061149C">
            <w:pPr>
              <w:keepNext/>
              <w:keepLines/>
              <w:spacing w:after="0" w:line="240" w:lineRule="auto"/>
              <w:jc w:val="center"/>
            </w:pPr>
            <w:r>
              <w:rPr>
                <w:b/>
                <w:sz w:val="18"/>
              </w:rPr>
              <w:t>Ind</w:t>
            </w:r>
            <w:r>
              <w:rPr>
                <w:b/>
                <w:sz w:val="18"/>
              </w:rPr>
              <w:t>eks (%)</w:t>
            </w:r>
          </w:p>
        </w:tc>
      </w:tr>
      <w:tr w:rsidR="00FA2BDA" w14:paraId="0C3BFB58" w14:textId="77777777">
        <w:tblPrEx>
          <w:tblCellMar>
            <w:top w:w="0" w:type="dxa"/>
            <w:bottom w:w="0" w:type="dxa"/>
          </w:tblCellMar>
        </w:tblPrEx>
        <w:trPr>
          <w:cantSplit/>
          <w:trHeight w:val="560"/>
        </w:trPr>
        <w:tc>
          <w:tcPr>
            <w:tcW w:w="700" w:type="dxa"/>
            <w:tcMar>
              <w:top w:w="0" w:type="dxa"/>
              <w:bottom w:w="0" w:type="dxa"/>
            </w:tcMar>
            <w:vAlign w:val="center"/>
          </w:tcPr>
          <w:p w14:paraId="4002AC8F" w14:textId="77777777" w:rsidR="00FA2BDA" w:rsidRDefault="0061149C">
            <w:pPr>
              <w:keepNext/>
              <w:keepLines/>
              <w:spacing w:after="0" w:line="240" w:lineRule="auto"/>
            </w:pPr>
            <w:r>
              <w:rPr>
                <w:sz w:val="18"/>
              </w:rPr>
              <w:t>3133</w:t>
            </w:r>
          </w:p>
        </w:tc>
        <w:tc>
          <w:tcPr>
            <w:tcW w:w="3180" w:type="dxa"/>
            <w:tcMar>
              <w:top w:w="0" w:type="dxa"/>
              <w:bottom w:w="0" w:type="dxa"/>
            </w:tcMar>
            <w:vAlign w:val="center"/>
          </w:tcPr>
          <w:p w14:paraId="41A2B46E" w14:textId="77777777" w:rsidR="00FA2BDA" w:rsidRDefault="0061149C">
            <w:pPr>
              <w:keepNext/>
              <w:keepLines/>
              <w:spacing w:after="0" w:line="240" w:lineRule="auto"/>
            </w:pPr>
            <w:r>
              <w:rPr>
                <w:sz w:val="18"/>
              </w:rPr>
              <w:t>Doprinosi za obvezno osiguranje u slučaju nezaposlenosti</w:t>
            </w:r>
          </w:p>
        </w:tc>
        <w:tc>
          <w:tcPr>
            <w:tcW w:w="700" w:type="dxa"/>
            <w:tcMar>
              <w:top w:w="0" w:type="dxa"/>
              <w:bottom w:w="0" w:type="dxa"/>
            </w:tcMar>
            <w:vAlign w:val="center"/>
          </w:tcPr>
          <w:p w14:paraId="19F0A892" w14:textId="77777777" w:rsidR="00FA2BDA" w:rsidRDefault="0061149C">
            <w:pPr>
              <w:keepNext/>
              <w:keepLines/>
              <w:spacing w:after="0" w:line="240" w:lineRule="auto"/>
            </w:pPr>
            <w:r>
              <w:rPr>
                <w:sz w:val="18"/>
              </w:rPr>
              <w:t>3133</w:t>
            </w:r>
          </w:p>
        </w:tc>
        <w:tc>
          <w:tcPr>
            <w:tcW w:w="1860" w:type="dxa"/>
            <w:tcMar>
              <w:top w:w="0" w:type="dxa"/>
              <w:bottom w:w="0" w:type="dxa"/>
            </w:tcMar>
            <w:vAlign w:val="center"/>
          </w:tcPr>
          <w:p w14:paraId="407F9CE4" w14:textId="77777777" w:rsidR="00FA2BDA" w:rsidRDefault="0061149C">
            <w:pPr>
              <w:keepNext/>
              <w:keepLines/>
              <w:spacing w:after="0" w:line="240" w:lineRule="auto"/>
              <w:jc w:val="right"/>
            </w:pPr>
            <w:r>
              <w:rPr>
                <w:sz w:val="18"/>
              </w:rPr>
              <w:t>10,35</w:t>
            </w:r>
          </w:p>
        </w:tc>
        <w:tc>
          <w:tcPr>
            <w:tcW w:w="1860" w:type="dxa"/>
            <w:tcMar>
              <w:top w:w="0" w:type="dxa"/>
              <w:bottom w:w="0" w:type="dxa"/>
            </w:tcMar>
            <w:vAlign w:val="center"/>
          </w:tcPr>
          <w:p w14:paraId="7AB2A4FA" w14:textId="77777777" w:rsidR="00FA2BDA" w:rsidRDefault="0061149C">
            <w:pPr>
              <w:keepNext/>
              <w:keepLines/>
              <w:spacing w:after="0" w:line="240" w:lineRule="auto"/>
              <w:jc w:val="right"/>
            </w:pPr>
            <w:r>
              <w:rPr>
                <w:sz w:val="18"/>
              </w:rPr>
              <w:t>0,00</w:t>
            </w:r>
          </w:p>
        </w:tc>
        <w:tc>
          <w:tcPr>
            <w:tcW w:w="700" w:type="dxa"/>
            <w:tcMar>
              <w:top w:w="0" w:type="dxa"/>
              <w:bottom w:w="0" w:type="dxa"/>
            </w:tcMar>
            <w:vAlign w:val="center"/>
          </w:tcPr>
          <w:p w14:paraId="326FF5F8" w14:textId="77777777" w:rsidR="00FA2BDA" w:rsidRDefault="0061149C">
            <w:pPr>
              <w:keepNext/>
              <w:keepLines/>
              <w:spacing w:after="0" w:line="240" w:lineRule="auto"/>
              <w:jc w:val="right"/>
            </w:pPr>
            <w:r>
              <w:rPr>
                <w:sz w:val="18"/>
              </w:rPr>
              <w:t>0</w:t>
            </w:r>
          </w:p>
        </w:tc>
      </w:tr>
    </w:tbl>
    <w:p w14:paraId="7426270C" w14:textId="77777777" w:rsidR="00FA2BDA" w:rsidRDefault="00FA2BDA">
      <w:pPr>
        <w:spacing w:after="0"/>
      </w:pPr>
    </w:p>
    <w:p w14:paraId="76B4ED85" w14:textId="77777777" w:rsidR="00FA2BDA" w:rsidRDefault="0061149C">
      <w:pPr>
        <w:spacing w:line="240" w:lineRule="auto"/>
        <w:jc w:val="both"/>
      </w:pPr>
      <w:r>
        <w:t xml:space="preserve">Doprinosi za obvezno osiguranje u slučaju nezaposlenosti bilježe 2025. godine stanje 0,00 EUR u odnosu na 2024. godinu kad je stanje bilo 10,35 EUR jer smo </w:t>
      </w:r>
      <w:r>
        <w:t>isplaćivali sudsku tužbu zaposlenici škole.</w:t>
      </w:r>
    </w:p>
    <w:p w14:paraId="1608F264" w14:textId="77777777" w:rsidR="00FA2BDA" w:rsidRDefault="00FA2BDA"/>
    <w:p w14:paraId="7047AF88" w14:textId="77777777" w:rsidR="00FA2BDA" w:rsidRDefault="0061149C">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1508410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925E002"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D0F59E9"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0F9076E"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C9EBAE4"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0746B95"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D501A28" w14:textId="77777777" w:rsidR="00FA2BDA" w:rsidRDefault="0061149C">
            <w:pPr>
              <w:keepNext/>
              <w:keepLines/>
              <w:spacing w:after="0" w:line="240" w:lineRule="auto"/>
              <w:jc w:val="center"/>
            </w:pPr>
            <w:r>
              <w:rPr>
                <w:b/>
                <w:sz w:val="18"/>
              </w:rPr>
              <w:t>Indeks (%)</w:t>
            </w:r>
          </w:p>
        </w:tc>
      </w:tr>
      <w:tr w:rsidR="00FA2BDA" w14:paraId="65B67903" w14:textId="77777777">
        <w:tblPrEx>
          <w:tblCellMar>
            <w:top w:w="0" w:type="dxa"/>
            <w:bottom w:w="0" w:type="dxa"/>
          </w:tblCellMar>
        </w:tblPrEx>
        <w:trPr>
          <w:cantSplit/>
          <w:trHeight w:val="560"/>
        </w:trPr>
        <w:tc>
          <w:tcPr>
            <w:tcW w:w="700" w:type="dxa"/>
            <w:tcMar>
              <w:top w:w="0" w:type="dxa"/>
              <w:bottom w:w="0" w:type="dxa"/>
            </w:tcMar>
            <w:vAlign w:val="center"/>
          </w:tcPr>
          <w:p w14:paraId="78B2A059" w14:textId="77777777" w:rsidR="00FA2BDA" w:rsidRDefault="0061149C">
            <w:pPr>
              <w:keepNext/>
              <w:keepLines/>
              <w:spacing w:after="0" w:line="240" w:lineRule="auto"/>
            </w:pPr>
            <w:r>
              <w:rPr>
                <w:sz w:val="18"/>
              </w:rPr>
              <w:t>3211</w:t>
            </w:r>
          </w:p>
        </w:tc>
        <w:tc>
          <w:tcPr>
            <w:tcW w:w="3180" w:type="dxa"/>
            <w:tcMar>
              <w:top w:w="0" w:type="dxa"/>
              <w:bottom w:w="0" w:type="dxa"/>
            </w:tcMar>
            <w:vAlign w:val="center"/>
          </w:tcPr>
          <w:p w14:paraId="77BE6021" w14:textId="77777777" w:rsidR="00FA2BDA" w:rsidRDefault="0061149C">
            <w:pPr>
              <w:keepNext/>
              <w:keepLines/>
              <w:spacing w:after="0" w:line="240" w:lineRule="auto"/>
            </w:pPr>
            <w:r>
              <w:rPr>
                <w:sz w:val="18"/>
              </w:rPr>
              <w:t>Službena putovanja</w:t>
            </w:r>
          </w:p>
        </w:tc>
        <w:tc>
          <w:tcPr>
            <w:tcW w:w="700" w:type="dxa"/>
            <w:tcMar>
              <w:top w:w="0" w:type="dxa"/>
              <w:bottom w:w="0" w:type="dxa"/>
            </w:tcMar>
            <w:vAlign w:val="center"/>
          </w:tcPr>
          <w:p w14:paraId="5D7ABE1C" w14:textId="77777777" w:rsidR="00FA2BDA" w:rsidRDefault="0061149C">
            <w:pPr>
              <w:keepNext/>
              <w:keepLines/>
              <w:spacing w:after="0" w:line="240" w:lineRule="auto"/>
            </w:pPr>
            <w:r>
              <w:rPr>
                <w:sz w:val="18"/>
              </w:rPr>
              <w:t>3211</w:t>
            </w:r>
          </w:p>
        </w:tc>
        <w:tc>
          <w:tcPr>
            <w:tcW w:w="1860" w:type="dxa"/>
            <w:tcMar>
              <w:top w:w="0" w:type="dxa"/>
              <w:bottom w:w="0" w:type="dxa"/>
            </w:tcMar>
            <w:vAlign w:val="center"/>
          </w:tcPr>
          <w:p w14:paraId="48DC1635" w14:textId="77777777" w:rsidR="00FA2BDA" w:rsidRDefault="0061149C">
            <w:pPr>
              <w:keepNext/>
              <w:keepLines/>
              <w:spacing w:after="0" w:line="240" w:lineRule="auto"/>
              <w:jc w:val="right"/>
            </w:pPr>
            <w:r>
              <w:rPr>
                <w:sz w:val="18"/>
              </w:rPr>
              <w:t>10.738,01</w:t>
            </w:r>
          </w:p>
        </w:tc>
        <w:tc>
          <w:tcPr>
            <w:tcW w:w="1860" w:type="dxa"/>
            <w:tcMar>
              <w:top w:w="0" w:type="dxa"/>
              <w:bottom w:w="0" w:type="dxa"/>
            </w:tcMar>
            <w:vAlign w:val="center"/>
          </w:tcPr>
          <w:p w14:paraId="3E4CC785" w14:textId="77777777" w:rsidR="00FA2BDA" w:rsidRDefault="0061149C">
            <w:pPr>
              <w:keepNext/>
              <w:keepLines/>
              <w:spacing w:after="0" w:line="240" w:lineRule="auto"/>
              <w:jc w:val="right"/>
            </w:pPr>
            <w:r>
              <w:rPr>
                <w:sz w:val="18"/>
              </w:rPr>
              <w:t>8.602,77</w:t>
            </w:r>
          </w:p>
        </w:tc>
        <w:tc>
          <w:tcPr>
            <w:tcW w:w="700" w:type="dxa"/>
            <w:tcMar>
              <w:top w:w="0" w:type="dxa"/>
              <w:bottom w:w="0" w:type="dxa"/>
            </w:tcMar>
            <w:vAlign w:val="center"/>
          </w:tcPr>
          <w:p w14:paraId="228F121C" w14:textId="77777777" w:rsidR="00FA2BDA" w:rsidRDefault="0061149C">
            <w:pPr>
              <w:keepNext/>
              <w:keepLines/>
              <w:spacing w:after="0" w:line="240" w:lineRule="auto"/>
              <w:jc w:val="right"/>
            </w:pPr>
            <w:r>
              <w:rPr>
                <w:sz w:val="18"/>
              </w:rPr>
              <w:t>80,1</w:t>
            </w:r>
          </w:p>
        </w:tc>
      </w:tr>
    </w:tbl>
    <w:p w14:paraId="244D54D0" w14:textId="77777777" w:rsidR="00FA2BDA" w:rsidRDefault="00FA2BDA">
      <w:pPr>
        <w:spacing w:after="0"/>
      </w:pPr>
    </w:p>
    <w:p w14:paraId="45BB788B" w14:textId="77777777" w:rsidR="00FA2BDA" w:rsidRDefault="0061149C">
      <w:pPr>
        <w:spacing w:line="240" w:lineRule="auto"/>
        <w:jc w:val="both"/>
      </w:pPr>
      <w:r>
        <w:t>Službena putovanja su ostvarena u iznosu od 8.602,77 EUR i imaju pad indeksa na 80,1 zbog manjeg odlaska zaposlenika na službena putovanja u odnosu na isto razdoblje prošle godine.</w:t>
      </w:r>
    </w:p>
    <w:p w14:paraId="440C4330" w14:textId="77777777" w:rsidR="00FA2BDA" w:rsidRDefault="00FA2BDA"/>
    <w:p w14:paraId="257A6859" w14:textId="77777777" w:rsidR="00FA2BDA" w:rsidRDefault="0061149C">
      <w:pPr>
        <w:keepNext/>
        <w:spacing w:line="240" w:lineRule="auto"/>
        <w:jc w:val="center"/>
      </w:pPr>
      <w:r>
        <w:rPr>
          <w:sz w:val="28"/>
        </w:rPr>
        <w:lastRenderedPageBreak/>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73C3DD0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401E4FD"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7BAA2C4"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E02FF6A"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40D408E"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B724029"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9141DB0" w14:textId="77777777" w:rsidR="00FA2BDA" w:rsidRDefault="0061149C">
            <w:pPr>
              <w:keepNext/>
              <w:keepLines/>
              <w:spacing w:after="0" w:line="240" w:lineRule="auto"/>
              <w:jc w:val="center"/>
            </w:pPr>
            <w:r>
              <w:rPr>
                <w:b/>
                <w:sz w:val="18"/>
              </w:rPr>
              <w:t>Indeks (%)</w:t>
            </w:r>
          </w:p>
        </w:tc>
      </w:tr>
      <w:tr w:rsidR="00FA2BDA" w14:paraId="2408FBD1" w14:textId="77777777">
        <w:tblPrEx>
          <w:tblCellMar>
            <w:top w:w="0" w:type="dxa"/>
            <w:bottom w:w="0" w:type="dxa"/>
          </w:tblCellMar>
        </w:tblPrEx>
        <w:trPr>
          <w:cantSplit/>
          <w:trHeight w:val="560"/>
        </w:trPr>
        <w:tc>
          <w:tcPr>
            <w:tcW w:w="700" w:type="dxa"/>
            <w:tcMar>
              <w:top w:w="0" w:type="dxa"/>
              <w:bottom w:w="0" w:type="dxa"/>
            </w:tcMar>
            <w:vAlign w:val="center"/>
          </w:tcPr>
          <w:p w14:paraId="3C0230B4" w14:textId="77777777" w:rsidR="00FA2BDA" w:rsidRDefault="0061149C">
            <w:pPr>
              <w:keepNext/>
              <w:keepLines/>
              <w:spacing w:after="0" w:line="240" w:lineRule="auto"/>
            </w:pPr>
            <w:r>
              <w:rPr>
                <w:sz w:val="18"/>
              </w:rPr>
              <w:t>3212</w:t>
            </w:r>
          </w:p>
        </w:tc>
        <w:tc>
          <w:tcPr>
            <w:tcW w:w="3180" w:type="dxa"/>
            <w:tcMar>
              <w:top w:w="0" w:type="dxa"/>
              <w:bottom w:w="0" w:type="dxa"/>
            </w:tcMar>
            <w:vAlign w:val="center"/>
          </w:tcPr>
          <w:p w14:paraId="3B132BDA" w14:textId="77777777" w:rsidR="00FA2BDA" w:rsidRDefault="0061149C">
            <w:pPr>
              <w:keepNext/>
              <w:keepLines/>
              <w:spacing w:after="0" w:line="240" w:lineRule="auto"/>
            </w:pPr>
            <w:r>
              <w:rPr>
                <w:sz w:val="18"/>
              </w:rPr>
              <w:t>Naknade za prijevoz, za rad na terenu i odvojeni život</w:t>
            </w:r>
          </w:p>
        </w:tc>
        <w:tc>
          <w:tcPr>
            <w:tcW w:w="700" w:type="dxa"/>
            <w:tcMar>
              <w:top w:w="0" w:type="dxa"/>
              <w:bottom w:w="0" w:type="dxa"/>
            </w:tcMar>
            <w:vAlign w:val="center"/>
          </w:tcPr>
          <w:p w14:paraId="69862874" w14:textId="77777777" w:rsidR="00FA2BDA" w:rsidRDefault="0061149C">
            <w:pPr>
              <w:keepNext/>
              <w:keepLines/>
              <w:spacing w:after="0" w:line="240" w:lineRule="auto"/>
            </w:pPr>
            <w:r>
              <w:rPr>
                <w:sz w:val="18"/>
              </w:rPr>
              <w:t>3212</w:t>
            </w:r>
          </w:p>
        </w:tc>
        <w:tc>
          <w:tcPr>
            <w:tcW w:w="1860" w:type="dxa"/>
            <w:tcMar>
              <w:top w:w="0" w:type="dxa"/>
              <w:bottom w:w="0" w:type="dxa"/>
            </w:tcMar>
            <w:vAlign w:val="center"/>
          </w:tcPr>
          <w:p w14:paraId="5ACAD74F" w14:textId="77777777" w:rsidR="00FA2BDA" w:rsidRDefault="0061149C">
            <w:pPr>
              <w:keepNext/>
              <w:keepLines/>
              <w:spacing w:after="0" w:line="240" w:lineRule="auto"/>
              <w:jc w:val="right"/>
            </w:pPr>
            <w:r>
              <w:rPr>
                <w:sz w:val="18"/>
              </w:rPr>
              <w:t>16.588,69</w:t>
            </w:r>
          </w:p>
        </w:tc>
        <w:tc>
          <w:tcPr>
            <w:tcW w:w="1860" w:type="dxa"/>
            <w:tcMar>
              <w:top w:w="0" w:type="dxa"/>
              <w:bottom w:w="0" w:type="dxa"/>
            </w:tcMar>
            <w:vAlign w:val="center"/>
          </w:tcPr>
          <w:p w14:paraId="32B2E47E" w14:textId="77777777" w:rsidR="00FA2BDA" w:rsidRDefault="0061149C">
            <w:pPr>
              <w:keepNext/>
              <w:keepLines/>
              <w:spacing w:after="0" w:line="240" w:lineRule="auto"/>
              <w:jc w:val="right"/>
            </w:pPr>
            <w:r>
              <w:rPr>
                <w:sz w:val="18"/>
              </w:rPr>
              <w:t>18.829,14</w:t>
            </w:r>
          </w:p>
        </w:tc>
        <w:tc>
          <w:tcPr>
            <w:tcW w:w="700" w:type="dxa"/>
            <w:tcMar>
              <w:top w:w="0" w:type="dxa"/>
              <w:bottom w:w="0" w:type="dxa"/>
            </w:tcMar>
            <w:vAlign w:val="center"/>
          </w:tcPr>
          <w:p w14:paraId="13F473BE" w14:textId="77777777" w:rsidR="00FA2BDA" w:rsidRDefault="0061149C">
            <w:pPr>
              <w:keepNext/>
              <w:keepLines/>
              <w:spacing w:after="0" w:line="240" w:lineRule="auto"/>
              <w:jc w:val="right"/>
            </w:pPr>
            <w:r>
              <w:rPr>
                <w:sz w:val="18"/>
              </w:rPr>
              <w:t>113,5</w:t>
            </w:r>
          </w:p>
        </w:tc>
      </w:tr>
    </w:tbl>
    <w:p w14:paraId="07B158D2" w14:textId="77777777" w:rsidR="00FA2BDA" w:rsidRDefault="00FA2BDA">
      <w:pPr>
        <w:spacing w:after="0"/>
      </w:pPr>
    </w:p>
    <w:p w14:paraId="39A9263D" w14:textId="77777777" w:rsidR="00FA2BDA" w:rsidRDefault="0061149C">
      <w:pPr>
        <w:spacing w:line="240" w:lineRule="auto"/>
        <w:jc w:val="both"/>
      </w:pPr>
      <w:r>
        <w:t xml:space="preserve">Naknade za prijevoz, za rad na terenu i </w:t>
      </w:r>
      <w:r>
        <w:t xml:space="preserve">odvojeni život ostvarene su u iznosu od 18.829,14 EUR i bilježe rast indeksa na 113,5 jer u 2025. godini imamo nešto veće troškove prijevoza za pomoćnike u nastavi, a i u novom Temeljnom kolektivnom ugovoru postoji pravo za starije od 58 godina s kojim im </w:t>
      </w:r>
      <w:r>
        <w:t>se priznaje prijevoz i za udaljenost manju od 2 km.</w:t>
      </w:r>
    </w:p>
    <w:p w14:paraId="292CC39C" w14:textId="77777777" w:rsidR="00FA2BDA" w:rsidRDefault="00FA2BDA"/>
    <w:p w14:paraId="3558FC28" w14:textId="77777777" w:rsidR="00FA2BDA" w:rsidRDefault="0061149C">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62B2871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1CE651F"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60A20E4"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D9CA15E"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CE78B7B"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9DEE2F2"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6B54205" w14:textId="77777777" w:rsidR="00FA2BDA" w:rsidRDefault="0061149C">
            <w:pPr>
              <w:keepNext/>
              <w:keepLines/>
              <w:spacing w:after="0" w:line="240" w:lineRule="auto"/>
              <w:jc w:val="center"/>
            </w:pPr>
            <w:r>
              <w:rPr>
                <w:b/>
                <w:sz w:val="18"/>
              </w:rPr>
              <w:t>Indeks (%)</w:t>
            </w:r>
          </w:p>
        </w:tc>
      </w:tr>
      <w:tr w:rsidR="00FA2BDA" w14:paraId="0E7E7E7A" w14:textId="77777777">
        <w:tblPrEx>
          <w:tblCellMar>
            <w:top w:w="0" w:type="dxa"/>
            <w:bottom w:w="0" w:type="dxa"/>
          </w:tblCellMar>
        </w:tblPrEx>
        <w:trPr>
          <w:cantSplit/>
          <w:trHeight w:val="560"/>
        </w:trPr>
        <w:tc>
          <w:tcPr>
            <w:tcW w:w="700" w:type="dxa"/>
            <w:tcMar>
              <w:top w:w="0" w:type="dxa"/>
              <w:bottom w:w="0" w:type="dxa"/>
            </w:tcMar>
            <w:vAlign w:val="center"/>
          </w:tcPr>
          <w:p w14:paraId="75F47B6D" w14:textId="77777777" w:rsidR="00FA2BDA" w:rsidRDefault="0061149C">
            <w:pPr>
              <w:keepNext/>
              <w:keepLines/>
              <w:spacing w:after="0" w:line="240" w:lineRule="auto"/>
            </w:pPr>
            <w:r>
              <w:rPr>
                <w:sz w:val="18"/>
              </w:rPr>
              <w:t>3213</w:t>
            </w:r>
          </w:p>
        </w:tc>
        <w:tc>
          <w:tcPr>
            <w:tcW w:w="3180" w:type="dxa"/>
            <w:tcMar>
              <w:top w:w="0" w:type="dxa"/>
              <w:bottom w:w="0" w:type="dxa"/>
            </w:tcMar>
            <w:vAlign w:val="center"/>
          </w:tcPr>
          <w:p w14:paraId="3F300626" w14:textId="77777777" w:rsidR="00FA2BDA" w:rsidRDefault="0061149C">
            <w:pPr>
              <w:keepNext/>
              <w:keepLines/>
              <w:spacing w:after="0" w:line="240" w:lineRule="auto"/>
            </w:pPr>
            <w:r>
              <w:rPr>
                <w:sz w:val="18"/>
              </w:rPr>
              <w:t xml:space="preserve">Stručno usavršavanje </w:t>
            </w:r>
            <w:r>
              <w:rPr>
                <w:sz w:val="18"/>
              </w:rPr>
              <w:t>zaposlenika</w:t>
            </w:r>
          </w:p>
        </w:tc>
        <w:tc>
          <w:tcPr>
            <w:tcW w:w="700" w:type="dxa"/>
            <w:tcMar>
              <w:top w:w="0" w:type="dxa"/>
              <w:bottom w:w="0" w:type="dxa"/>
            </w:tcMar>
            <w:vAlign w:val="center"/>
          </w:tcPr>
          <w:p w14:paraId="3068BBE5" w14:textId="77777777" w:rsidR="00FA2BDA" w:rsidRDefault="0061149C">
            <w:pPr>
              <w:keepNext/>
              <w:keepLines/>
              <w:spacing w:after="0" w:line="240" w:lineRule="auto"/>
            </w:pPr>
            <w:r>
              <w:rPr>
                <w:sz w:val="18"/>
              </w:rPr>
              <w:t>3213</w:t>
            </w:r>
          </w:p>
        </w:tc>
        <w:tc>
          <w:tcPr>
            <w:tcW w:w="1860" w:type="dxa"/>
            <w:tcMar>
              <w:top w:w="0" w:type="dxa"/>
              <w:bottom w:w="0" w:type="dxa"/>
            </w:tcMar>
            <w:vAlign w:val="center"/>
          </w:tcPr>
          <w:p w14:paraId="3CFCFCBC" w14:textId="77777777" w:rsidR="00FA2BDA" w:rsidRDefault="0061149C">
            <w:pPr>
              <w:keepNext/>
              <w:keepLines/>
              <w:spacing w:after="0" w:line="240" w:lineRule="auto"/>
              <w:jc w:val="right"/>
            </w:pPr>
            <w:r>
              <w:rPr>
                <w:sz w:val="18"/>
              </w:rPr>
              <w:t>752,00</w:t>
            </w:r>
          </w:p>
        </w:tc>
        <w:tc>
          <w:tcPr>
            <w:tcW w:w="1860" w:type="dxa"/>
            <w:tcMar>
              <w:top w:w="0" w:type="dxa"/>
              <w:bottom w:w="0" w:type="dxa"/>
            </w:tcMar>
            <w:vAlign w:val="center"/>
          </w:tcPr>
          <w:p w14:paraId="50788925" w14:textId="77777777" w:rsidR="00FA2BDA" w:rsidRDefault="0061149C">
            <w:pPr>
              <w:keepNext/>
              <w:keepLines/>
              <w:spacing w:after="0" w:line="240" w:lineRule="auto"/>
              <w:jc w:val="right"/>
            </w:pPr>
            <w:r>
              <w:rPr>
                <w:sz w:val="18"/>
              </w:rPr>
              <w:t>1.523,47</w:t>
            </w:r>
          </w:p>
        </w:tc>
        <w:tc>
          <w:tcPr>
            <w:tcW w:w="700" w:type="dxa"/>
            <w:tcMar>
              <w:top w:w="0" w:type="dxa"/>
              <w:bottom w:w="0" w:type="dxa"/>
            </w:tcMar>
            <w:vAlign w:val="center"/>
          </w:tcPr>
          <w:p w14:paraId="3B3229E8" w14:textId="77777777" w:rsidR="00FA2BDA" w:rsidRDefault="0061149C">
            <w:pPr>
              <w:keepNext/>
              <w:keepLines/>
              <w:spacing w:after="0" w:line="240" w:lineRule="auto"/>
              <w:jc w:val="right"/>
            </w:pPr>
            <w:r>
              <w:rPr>
                <w:sz w:val="18"/>
              </w:rPr>
              <w:t>202,6</w:t>
            </w:r>
          </w:p>
        </w:tc>
      </w:tr>
    </w:tbl>
    <w:p w14:paraId="25C6D5F4" w14:textId="77777777" w:rsidR="00FA2BDA" w:rsidRDefault="00FA2BDA">
      <w:pPr>
        <w:spacing w:after="0"/>
      </w:pPr>
    </w:p>
    <w:p w14:paraId="580ABDFE" w14:textId="77777777" w:rsidR="00FA2BDA" w:rsidRDefault="0061149C">
      <w:pPr>
        <w:spacing w:line="240" w:lineRule="auto"/>
        <w:jc w:val="both"/>
      </w:pPr>
      <w:r>
        <w:t xml:space="preserve">Stručno osposobljavanje zaposlenika bilježi rast indeksa na 202,6  i ostvarenje od 1.523,47 EUR jer smo u 2025. godini osim redovnog usavršavanja zaposlenika imali trošak osposobljavanja stručno </w:t>
      </w:r>
      <w:r>
        <w:t>komunikacijske posrednice u iznosu od 609,86 EUR za koju nismo dobili vaučer kao za ostale pomoćnike u nastavi.</w:t>
      </w:r>
    </w:p>
    <w:p w14:paraId="2F2796A3" w14:textId="77777777" w:rsidR="00FA2BDA" w:rsidRDefault="00FA2BDA"/>
    <w:p w14:paraId="1CCAAB22" w14:textId="77777777" w:rsidR="00FA2BDA" w:rsidRDefault="0061149C">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09785C0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613E882"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4CB7CB2"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D7B9EB7"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A84BB75"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1183D6A" w14:textId="77777777" w:rsidR="00FA2BDA" w:rsidRDefault="0061149C">
            <w:pPr>
              <w:keepNext/>
              <w:keepLines/>
              <w:spacing w:after="0" w:line="240" w:lineRule="auto"/>
              <w:jc w:val="center"/>
            </w:pPr>
            <w:r>
              <w:rPr>
                <w:b/>
                <w:sz w:val="18"/>
              </w:rPr>
              <w:t>Ostvareno u izvještajnom razdoblju tekuć</w:t>
            </w:r>
            <w:r>
              <w:rPr>
                <w:b/>
                <w:sz w:val="18"/>
              </w:rPr>
              <w:t>e godine</w:t>
            </w:r>
          </w:p>
        </w:tc>
        <w:tc>
          <w:tcPr>
            <w:tcW w:w="700" w:type="dxa"/>
            <w:shd w:val="clear" w:color="auto" w:fill="E7F0F9"/>
            <w:tcMar>
              <w:top w:w="0" w:type="dxa"/>
              <w:bottom w:w="0" w:type="dxa"/>
            </w:tcMar>
            <w:vAlign w:val="center"/>
          </w:tcPr>
          <w:p w14:paraId="69F8D10A" w14:textId="77777777" w:rsidR="00FA2BDA" w:rsidRDefault="0061149C">
            <w:pPr>
              <w:keepNext/>
              <w:keepLines/>
              <w:spacing w:after="0" w:line="240" w:lineRule="auto"/>
              <w:jc w:val="center"/>
            </w:pPr>
            <w:r>
              <w:rPr>
                <w:b/>
                <w:sz w:val="18"/>
              </w:rPr>
              <w:t>Indeks (%)</w:t>
            </w:r>
          </w:p>
        </w:tc>
      </w:tr>
      <w:tr w:rsidR="00FA2BDA" w14:paraId="3BF64014" w14:textId="77777777">
        <w:tblPrEx>
          <w:tblCellMar>
            <w:top w:w="0" w:type="dxa"/>
            <w:bottom w:w="0" w:type="dxa"/>
          </w:tblCellMar>
        </w:tblPrEx>
        <w:trPr>
          <w:cantSplit/>
          <w:trHeight w:val="560"/>
        </w:trPr>
        <w:tc>
          <w:tcPr>
            <w:tcW w:w="700" w:type="dxa"/>
            <w:tcMar>
              <w:top w:w="0" w:type="dxa"/>
              <w:bottom w:w="0" w:type="dxa"/>
            </w:tcMar>
            <w:vAlign w:val="center"/>
          </w:tcPr>
          <w:p w14:paraId="69703C61" w14:textId="77777777" w:rsidR="00FA2BDA" w:rsidRDefault="0061149C">
            <w:pPr>
              <w:keepNext/>
              <w:keepLines/>
              <w:spacing w:after="0" w:line="240" w:lineRule="auto"/>
            </w:pPr>
            <w:r>
              <w:rPr>
                <w:sz w:val="18"/>
              </w:rPr>
              <w:t>3221</w:t>
            </w:r>
          </w:p>
        </w:tc>
        <w:tc>
          <w:tcPr>
            <w:tcW w:w="3180" w:type="dxa"/>
            <w:tcMar>
              <w:top w:w="0" w:type="dxa"/>
              <w:bottom w:w="0" w:type="dxa"/>
            </w:tcMar>
            <w:vAlign w:val="center"/>
          </w:tcPr>
          <w:p w14:paraId="11C95764" w14:textId="77777777" w:rsidR="00FA2BDA" w:rsidRDefault="0061149C">
            <w:pPr>
              <w:keepNext/>
              <w:keepLines/>
              <w:spacing w:after="0" w:line="240" w:lineRule="auto"/>
            </w:pPr>
            <w:r>
              <w:rPr>
                <w:sz w:val="18"/>
              </w:rPr>
              <w:t>Uredski materijal i ostali materijalni rashodi</w:t>
            </w:r>
          </w:p>
        </w:tc>
        <w:tc>
          <w:tcPr>
            <w:tcW w:w="700" w:type="dxa"/>
            <w:tcMar>
              <w:top w:w="0" w:type="dxa"/>
              <w:bottom w:w="0" w:type="dxa"/>
            </w:tcMar>
            <w:vAlign w:val="center"/>
          </w:tcPr>
          <w:p w14:paraId="742A5E5B" w14:textId="77777777" w:rsidR="00FA2BDA" w:rsidRDefault="0061149C">
            <w:pPr>
              <w:keepNext/>
              <w:keepLines/>
              <w:spacing w:after="0" w:line="240" w:lineRule="auto"/>
            </w:pPr>
            <w:r>
              <w:rPr>
                <w:sz w:val="18"/>
              </w:rPr>
              <w:t>3221</w:t>
            </w:r>
          </w:p>
        </w:tc>
        <w:tc>
          <w:tcPr>
            <w:tcW w:w="1860" w:type="dxa"/>
            <w:tcMar>
              <w:top w:w="0" w:type="dxa"/>
              <w:bottom w:w="0" w:type="dxa"/>
            </w:tcMar>
            <w:vAlign w:val="center"/>
          </w:tcPr>
          <w:p w14:paraId="1872D0C2" w14:textId="77777777" w:rsidR="00FA2BDA" w:rsidRDefault="0061149C">
            <w:pPr>
              <w:keepNext/>
              <w:keepLines/>
              <w:spacing w:after="0" w:line="240" w:lineRule="auto"/>
              <w:jc w:val="right"/>
            </w:pPr>
            <w:r>
              <w:rPr>
                <w:sz w:val="18"/>
              </w:rPr>
              <w:t>15.095,11</w:t>
            </w:r>
          </w:p>
        </w:tc>
        <w:tc>
          <w:tcPr>
            <w:tcW w:w="1860" w:type="dxa"/>
            <w:tcMar>
              <w:top w:w="0" w:type="dxa"/>
              <w:bottom w:w="0" w:type="dxa"/>
            </w:tcMar>
            <w:vAlign w:val="center"/>
          </w:tcPr>
          <w:p w14:paraId="07BF5428" w14:textId="77777777" w:rsidR="00FA2BDA" w:rsidRDefault="0061149C">
            <w:pPr>
              <w:keepNext/>
              <w:keepLines/>
              <w:spacing w:after="0" w:line="240" w:lineRule="auto"/>
              <w:jc w:val="right"/>
            </w:pPr>
            <w:r>
              <w:rPr>
                <w:sz w:val="18"/>
              </w:rPr>
              <w:t>11.242,85</w:t>
            </w:r>
          </w:p>
        </w:tc>
        <w:tc>
          <w:tcPr>
            <w:tcW w:w="700" w:type="dxa"/>
            <w:tcMar>
              <w:top w:w="0" w:type="dxa"/>
              <w:bottom w:w="0" w:type="dxa"/>
            </w:tcMar>
            <w:vAlign w:val="center"/>
          </w:tcPr>
          <w:p w14:paraId="520C466A" w14:textId="77777777" w:rsidR="00FA2BDA" w:rsidRDefault="0061149C">
            <w:pPr>
              <w:keepNext/>
              <w:keepLines/>
              <w:spacing w:after="0" w:line="240" w:lineRule="auto"/>
              <w:jc w:val="right"/>
            </w:pPr>
            <w:r>
              <w:rPr>
                <w:sz w:val="18"/>
              </w:rPr>
              <w:t>74,5</w:t>
            </w:r>
          </w:p>
        </w:tc>
      </w:tr>
    </w:tbl>
    <w:p w14:paraId="7105047F" w14:textId="77777777" w:rsidR="00FA2BDA" w:rsidRDefault="00FA2BDA">
      <w:pPr>
        <w:spacing w:after="0"/>
      </w:pPr>
    </w:p>
    <w:p w14:paraId="688A760B" w14:textId="77777777" w:rsidR="00FA2BDA" w:rsidRDefault="0061149C">
      <w:pPr>
        <w:spacing w:line="240" w:lineRule="auto"/>
        <w:jc w:val="both"/>
      </w:pPr>
      <w:r>
        <w:t xml:space="preserve">Uredski materijal i ostali materijalni rashodi imaju ostvarenje od 11.242,85 EUR te bilježe pad indeksa na 74,5 zbog manje nabavljenih </w:t>
      </w:r>
      <w:r>
        <w:t>sredstava za čišćenje i higijenskog  materijala.</w:t>
      </w:r>
    </w:p>
    <w:p w14:paraId="22DF7238" w14:textId="77777777" w:rsidR="00FA2BDA" w:rsidRDefault="00FA2BDA"/>
    <w:p w14:paraId="712D893C" w14:textId="77777777" w:rsidR="00FA2BDA" w:rsidRDefault="0061149C">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0ED29B4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AF6BA28"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6507801"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818B8B9"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7735C70"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FADF641"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FCCCC9E" w14:textId="77777777" w:rsidR="00FA2BDA" w:rsidRDefault="0061149C">
            <w:pPr>
              <w:keepNext/>
              <w:keepLines/>
              <w:spacing w:after="0" w:line="240" w:lineRule="auto"/>
              <w:jc w:val="center"/>
            </w:pPr>
            <w:r>
              <w:rPr>
                <w:b/>
                <w:sz w:val="18"/>
              </w:rPr>
              <w:t>Indeks (%)</w:t>
            </w:r>
          </w:p>
        </w:tc>
      </w:tr>
      <w:tr w:rsidR="00FA2BDA" w14:paraId="6099CA8F" w14:textId="77777777">
        <w:tblPrEx>
          <w:tblCellMar>
            <w:top w:w="0" w:type="dxa"/>
            <w:bottom w:w="0" w:type="dxa"/>
          </w:tblCellMar>
        </w:tblPrEx>
        <w:trPr>
          <w:cantSplit/>
          <w:trHeight w:val="560"/>
        </w:trPr>
        <w:tc>
          <w:tcPr>
            <w:tcW w:w="700" w:type="dxa"/>
            <w:tcMar>
              <w:top w:w="0" w:type="dxa"/>
              <w:bottom w:w="0" w:type="dxa"/>
            </w:tcMar>
            <w:vAlign w:val="center"/>
          </w:tcPr>
          <w:p w14:paraId="409C7A8A" w14:textId="77777777" w:rsidR="00FA2BDA" w:rsidRDefault="0061149C">
            <w:pPr>
              <w:keepNext/>
              <w:keepLines/>
              <w:spacing w:after="0" w:line="240" w:lineRule="auto"/>
            </w:pPr>
            <w:r>
              <w:rPr>
                <w:sz w:val="18"/>
              </w:rPr>
              <w:t>3224</w:t>
            </w:r>
          </w:p>
        </w:tc>
        <w:tc>
          <w:tcPr>
            <w:tcW w:w="3180" w:type="dxa"/>
            <w:tcMar>
              <w:top w:w="0" w:type="dxa"/>
              <w:bottom w:w="0" w:type="dxa"/>
            </w:tcMar>
            <w:vAlign w:val="center"/>
          </w:tcPr>
          <w:p w14:paraId="4E15E85C" w14:textId="77777777" w:rsidR="00FA2BDA" w:rsidRDefault="0061149C">
            <w:pPr>
              <w:keepNext/>
              <w:keepLines/>
              <w:spacing w:after="0" w:line="240" w:lineRule="auto"/>
            </w:pPr>
            <w:r>
              <w:rPr>
                <w:sz w:val="18"/>
              </w:rPr>
              <w:t xml:space="preserve">Materijal i dijelovi za tekuće i </w:t>
            </w:r>
            <w:r>
              <w:rPr>
                <w:sz w:val="18"/>
              </w:rPr>
              <w:t>investicijsko održavanje</w:t>
            </w:r>
          </w:p>
        </w:tc>
        <w:tc>
          <w:tcPr>
            <w:tcW w:w="700" w:type="dxa"/>
            <w:tcMar>
              <w:top w:w="0" w:type="dxa"/>
              <w:bottom w:w="0" w:type="dxa"/>
            </w:tcMar>
            <w:vAlign w:val="center"/>
          </w:tcPr>
          <w:p w14:paraId="397FDE4D" w14:textId="77777777" w:rsidR="00FA2BDA" w:rsidRDefault="0061149C">
            <w:pPr>
              <w:keepNext/>
              <w:keepLines/>
              <w:spacing w:after="0" w:line="240" w:lineRule="auto"/>
            </w:pPr>
            <w:r>
              <w:rPr>
                <w:sz w:val="18"/>
              </w:rPr>
              <w:t>3224</w:t>
            </w:r>
          </w:p>
        </w:tc>
        <w:tc>
          <w:tcPr>
            <w:tcW w:w="1860" w:type="dxa"/>
            <w:tcMar>
              <w:top w:w="0" w:type="dxa"/>
              <w:bottom w:w="0" w:type="dxa"/>
            </w:tcMar>
            <w:vAlign w:val="center"/>
          </w:tcPr>
          <w:p w14:paraId="797FF162" w14:textId="77777777" w:rsidR="00FA2BDA" w:rsidRDefault="0061149C">
            <w:pPr>
              <w:keepNext/>
              <w:keepLines/>
              <w:spacing w:after="0" w:line="240" w:lineRule="auto"/>
              <w:jc w:val="right"/>
            </w:pPr>
            <w:r>
              <w:rPr>
                <w:sz w:val="18"/>
              </w:rPr>
              <w:t>1.398,00</w:t>
            </w:r>
          </w:p>
        </w:tc>
        <w:tc>
          <w:tcPr>
            <w:tcW w:w="1860" w:type="dxa"/>
            <w:tcMar>
              <w:top w:w="0" w:type="dxa"/>
              <w:bottom w:w="0" w:type="dxa"/>
            </w:tcMar>
            <w:vAlign w:val="center"/>
          </w:tcPr>
          <w:p w14:paraId="3C5C2C65" w14:textId="77777777" w:rsidR="00FA2BDA" w:rsidRDefault="0061149C">
            <w:pPr>
              <w:keepNext/>
              <w:keepLines/>
              <w:spacing w:after="0" w:line="240" w:lineRule="auto"/>
              <w:jc w:val="right"/>
            </w:pPr>
            <w:r>
              <w:rPr>
                <w:sz w:val="18"/>
              </w:rPr>
              <w:t>1.950,55</w:t>
            </w:r>
          </w:p>
        </w:tc>
        <w:tc>
          <w:tcPr>
            <w:tcW w:w="700" w:type="dxa"/>
            <w:tcMar>
              <w:top w:w="0" w:type="dxa"/>
              <w:bottom w:w="0" w:type="dxa"/>
            </w:tcMar>
            <w:vAlign w:val="center"/>
          </w:tcPr>
          <w:p w14:paraId="371FF8D5" w14:textId="77777777" w:rsidR="00FA2BDA" w:rsidRDefault="0061149C">
            <w:pPr>
              <w:keepNext/>
              <w:keepLines/>
              <w:spacing w:after="0" w:line="240" w:lineRule="auto"/>
              <w:jc w:val="right"/>
            </w:pPr>
            <w:r>
              <w:rPr>
                <w:sz w:val="18"/>
              </w:rPr>
              <w:t>139,5</w:t>
            </w:r>
          </w:p>
        </w:tc>
      </w:tr>
    </w:tbl>
    <w:p w14:paraId="06FCBF39" w14:textId="77777777" w:rsidR="00FA2BDA" w:rsidRDefault="00FA2BDA">
      <w:pPr>
        <w:spacing w:after="0"/>
      </w:pPr>
    </w:p>
    <w:p w14:paraId="29409712" w14:textId="77777777" w:rsidR="00FA2BDA" w:rsidRDefault="0061149C">
      <w:pPr>
        <w:spacing w:line="240" w:lineRule="auto"/>
        <w:jc w:val="both"/>
      </w:pPr>
      <w:r>
        <w:t>Materijal i dijelovi za tekuće i investicijsko održavanje bilježe ostvarenje od 1.950,55 EUR te rast indeksa na 139,5 zbog veće potrebe za popravcima i kupovinom materijala za isto.</w:t>
      </w:r>
    </w:p>
    <w:p w14:paraId="2DF04B35" w14:textId="77777777" w:rsidR="00FA2BDA" w:rsidRDefault="00FA2BDA"/>
    <w:p w14:paraId="7681F689" w14:textId="77777777" w:rsidR="00FA2BDA" w:rsidRDefault="0061149C">
      <w:pPr>
        <w:keepNext/>
        <w:spacing w:line="240" w:lineRule="auto"/>
        <w:jc w:val="center"/>
      </w:pPr>
      <w:r>
        <w:rPr>
          <w:sz w:val="28"/>
        </w:rPr>
        <w:lastRenderedPageBreak/>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631086E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2DBCE24"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5803C54"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3974917"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DDBEAD1"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8CC509C"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13D2DBD" w14:textId="77777777" w:rsidR="00FA2BDA" w:rsidRDefault="0061149C">
            <w:pPr>
              <w:keepNext/>
              <w:keepLines/>
              <w:spacing w:after="0" w:line="240" w:lineRule="auto"/>
              <w:jc w:val="center"/>
            </w:pPr>
            <w:r>
              <w:rPr>
                <w:b/>
                <w:sz w:val="18"/>
              </w:rPr>
              <w:t>Indeks (%)</w:t>
            </w:r>
          </w:p>
        </w:tc>
      </w:tr>
      <w:tr w:rsidR="00FA2BDA" w14:paraId="42344A3A" w14:textId="77777777">
        <w:tblPrEx>
          <w:tblCellMar>
            <w:top w:w="0" w:type="dxa"/>
            <w:bottom w:w="0" w:type="dxa"/>
          </w:tblCellMar>
        </w:tblPrEx>
        <w:trPr>
          <w:cantSplit/>
          <w:trHeight w:val="560"/>
        </w:trPr>
        <w:tc>
          <w:tcPr>
            <w:tcW w:w="700" w:type="dxa"/>
            <w:tcMar>
              <w:top w:w="0" w:type="dxa"/>
              <w:bottom w:w="0" w:type="dxa"/>
            </w:tcMar>
            <w:vAlign w:val="center"/>
          </w:tcPr>
          <w:p w14:paraId="0C14EEB8" w14:textId="77777777" w:rsidR="00FA2BDA" w:rsidRDefault="0061149C">
            <w:pPr>
              <w:keepNext/>
              <w:keepLines/>
              <w:spacing w:after="0" w:line="240" w:lineRule="auto"/>
            </w:pPr>
            <w:r>
              <w:rPr>
                <w:sz w:val="18"/>
              </w:rPr>
              <w:t>3225</w:t>
            </w:r>
          </w:p>
        </w:tc>
        <w:tc>
          <w:tcPr>
            <w:tcW w:w="3180" w:type="dxa"/>
            <w:tcMar>
              <w:top w:w="0" w:type="dxa"/>
              <w:bottom w:w="0" w:type="dxa"/>
            </w:tcMar>
            <w:vAlign w:val="center"/>
          </w:tcPr>
          <w:p w14:paraId="1A16BA4D" w14:textId="77777777" w:rsidR="00FA2BDA" w:rsidRDefault="0061149C">
            <w:pPr>
              <w:keepNext/>
              <w:keepLines/>
              <w:spacing w:after="0" w:line="240" w:lineRule="auto"/>
            </w:pPr>
            <w:r>
              <w:rPr>
                <w:sz w:val="18"/>
              </w:rPr>
              <w:t xml:space="preserve">Sitni inventar i </w:t>
            </w:r>
            <w:proofErr w:type="spellStart"/>
            <w:r>
              <w:rPr>
                <w:sz w:val="18"/>
              </w:rPr>
              <w:t>autogume</w:t>
            </w:r>
            <w:proofErr w:type="spellEnd"/>
          </w:p>
        </w:tc>
        <w:tc>
          <w:tcPr>
            <w:tcW w:w="700" w:type="dxa"/>
            <w:tcMar>
              <w:top w:w="0" w:type="dxa"/>
              <w:bottom w:w="0" w:type="dxa"/>
            </w:tcMar>
            <w:vAlign w:val="center"/>
          </w:tcPr>
          <w:p w14:paraId="74F5CAF3" w14:textId="77777777" w:rsidR="00FA2BDA" w:rsidRDefault="0061149C">
            <w:pPr>
              <w:keepNext/>
              <w:keepLines/>
              <w:spacing w:after="0" w:line="240" w:lineRule="auto"/>
            </w:pPr>
            <w:r>
              <w:rPr>
                <w:sz w:val="18"/>
              </w:rPr>
              <w:t>3225</w:t>
            </w:r>
          </w:p>
        </w:tc>
        <w:tc>
          <w:tcPr>
            <w:tcW w:w="1860" w:type="dxa"/>
            <w:tcMar>
              <w:top w:w="0" w:type="dxa"/>
              <w:bottom w:w="0" w:type="dxa"/>
            </w:tcMar>
            <w:vAlign w:val="center"/>
          </w:tcPr>
          <w:p w14:paraId="1477C836" w14:textId="77777777" w:rsidR="00FA2BDA" w:rsidRDefault="0061149C">
            <w:pPr>
              <w:keepNext/>
              <w:keepLines/>
              <w:spacing w:after="0" w:line="240" w:lineRule="auto"/>
              <w:jc w:val="right"/>
            </w:pPr>
            <w:r>
              <w:rPr>
                <w:sz w:val="18"/>
              </w:rPr>
              <w:t>720,94</w:t>
            </w:r>
          </w:p>
        </w:tc>
        <w:tc>
          <w:tcPr>
            <w:tcW w:w="1860" w:type="dxa"/>
            <w:tcMar>
              <w:top w:w="0" w:type="dxa"/>
              <w:bottom w:w="0" w:type="dxa"/>
            </w:tcMar>
            <w:vAlign w:val="center"/>
          </w:tcPr>
          <w:p w14:paraId="524883E0" w14:textId="77777777" w:rsidR="00FA2BDA" w:rsidRDefault="0061149C">
            <w:pPr>
              <w:keepNext/>
              <w:keepLines/>
              <w:spacing w:after="0" w:line="240" w:lineRule="auto"/>
              <w:jc w:val="right"/>
            </w:pPr>
            <w:r>
              <w:rPr>
                <w:sz w:val="18"/>
              </w:rPr>
              <w:t>2.556,69</w:t>
            </w:r>
          </w:p>
        </w:tc>
        <w:tc>
          <w:tcPr>
            <w:tcW w:w="700" w:type="dxa"/>
            <w:tcMar>
              <w:top w:w="0" w:type="dxa"/>
              <w:bottom w:w="0" w:type="dxa"/>
            </w:tcMar>
            <w:vAlign w:val="center"/>
          </w:tcPr>
          <w:p w14:paraId="42F8146C" w14:textId="77777777" w:rsidR="00FA2BDA" w:rsidRDefault="0061149C">
            <w:pPr>
              <w:keepNext/>
              <w:keepLines/>
              <w:spacing w:after="0" w:line="240" w:lineRule="auto"/>
              <w:jc w:val="right"/>
            </w:pPr>
            <w:r>
              <w:rPr>
                <w:sz w:val="18"/>
              </w:rPr>
              <w:t>354,6</w:t>
            </w:r>
          </w:p>
        </w:tc>
      </w:tr>
    </w:tbl>
    <w:p w14:paraId="6B10687C" w14:textId="77777777" w:rsidR="00FA2BDA" w:rsidRDefault="00FA2BDA">
      <w:pPr>
        <w:spacing w:after="0"/>
      </w:pPr>
    </w:p>
    <w:p w14:paraId="6F855FF2" w14:textId="77777777" w:rsidR="00FA2BDA" w:rsidRDefault="0061149C">
      <w:pPr>
        <w:spacing w:line="240" w:lineRule="auto"/>
        <w:jc w:val="both"/>
      </w:pPr>
      <w:r>
        <w:t xml:space="preserve">Sitni inventar i auto gume ostvareni su u </w:t>
      </w:r>
      <w:r>
        <w:t>iznosu od 2.556,69 EUR te veći indeks od 354,6 jer smo 2025. godine kupili mobitele za djelatnike škole što je bio veći izdatak.</w:t>
      </w:r>
    </w:p>
    <w:p w14:paraId="6ABEAD57" w14:textId="77777777" w:rsidR="00FA2BDA" w:rsidRDefault="00FA2BDA"/>
    <w:p w14:paraId="300CC822" w14:textId="77777777" w:rsidR="00FA2BDA" w:rsidRDefault="0061149C">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7B9D585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5669EE8"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CEB3352"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61CD988"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BD22346"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7A031B6" w14:textId="77777777" w:rsidR="00FA2BDA" w:rsidRDefault="0061149C">
            <w:pPr>
              <w:keepNext/>
              <w:keepLines/>
              <w:spacing w:after="0" w:line="240" w:lineRule="auto"/>
              <w:jc w:val="center"/>
            </w:pPr>
            <w:r>
              <w:rPr>
                <w:b/>
                <w:sz w:val="18"/>
              </w:rPr>
              <w:t>Ostvareno u izvještajno</w:t>
            </w:r>
            <w:r>
              <w:rPr>
                <w:b/>
                <w:sz w:val="18"/>
              </w:rPr>
              <w:t>m razdoblju tekuće godine</w:t>
            </w:r>
          </w:p>
        </w:tc>
        <w:tc>
          <w:tcPr>
            <w:tcW w:w="700" w:type="dxa"/>
            <w:shd w:val="clear" w:color="auto" w:fill="E7F0F9"/>
            <w:tcMar>
              <w:top w:w="0" w:type="dxa"/>
              <w:bottom w:w="0" w:type="dxa"/>
            </w:tcMar>
            <w:vAlign w:val="center"/>
          </w:tcPr>
          <w:p w14:paraId="679FE191" w14:textId="77777777" w:rsidR="00FA2BDA" w:rsidRDefault="0061149C">
            <w:pPr>
              <w:keepNext/>
              <w:keepLines/>
              <w:spacing w:after="0" w:line="240" w:lineRule="auto"/>
              <w:jc w:val="center"/>
            </w:pPr>
            <w:r>
              <w:rPr>
                <w:b/>
                <w:sz w:val="18"/>
              </w:rPr>
              <w:t>Indeks (%)</w:t>
            </w:r>
          </w:p>
        </w:tc>
      </w:tr>
      <w:tr w:rsidR="00FA2BDA" w14:paraId="66FE13E2" w14:textId="77777777">
        <w:tblPrEx>
          <w:tblCellMar>
            <w:top w:w="0" w:type="dxa"/>
            <w:bottom w:w="0" w:type="dxa"/>
          </w:tblCellMar>
        </w:tblPrEx>
        <w:trPr>
          <w:cantSplit/>
          <w:trHeight w:val="560"/>
        </w:trPr>
        <w:tc>
          <w:tcPr>
            <w:tcW w:w="700" w:type="dxa"/>
            <w:tcMar>
              <w:top w:w="0" w:type="dxa"/>
              <w:bottom w:w="0" w:type="dxa"/>
            </w:tcMar>
            <w:vAlign w:val="center"/>
          </w:tcPr>
          <w:p w14:paraId="5E529ADB" w14:textId="77777777" w:rsidR="00FA2BDA" w:rsidRDefault="0061149C">
            <w:pPr>
              <w:keepNext/>
              <w:keepLines/>
              <w:spacing w:after="0" w:line="240" w:lineRule="auto"/>
            </w:pPr>
            <w:r>
              <w:rPr>
                <w:sz w:val="18"/>
              </w:rPr>
              <w:t>3227</w:t>
            </w:r>
          </w:p>
        </w:tc>
        <w:tc>
          <w:tcPr>
            <w:tcW w:w="3180" w:type="dxa"/>
            <w:tcMar>
              <w:top w:w="0" w:type="dxa"/>
              <w:bottom w:w="0" w:type="dxa"/>
            </w:tcMar>
            <w:vAlign w:val="center"/>
          </w:tcPr>
          <w:p w14:paraId="220BA5A4" w14:textId="77777777" w:rsidR="00FA2BDA" w:rsidRDefault="0061149C">
            <w:pPr>
              <w:keepNext/>
              <w:keepLines/>
              <w:spacing w:after="0" w:line="240" w:lineRule="auto"/>
            </w:pPr>
            <w:r>
              <w:rPr>
                <w:sz w:val="18"/>
              </w:rPr>
              <w:t>Službena, radna i zaštitna odjeća i obuća</w:t>
            </w:r>
          </w:p>
        </w:tc>
        <w:tc>
          <w:tcPr>
            <w:tcW w:w="700" w:type="dxa"/>
            <w:tcMar>
              <w:top w:w="0" w:type="dxa"/>
              <w:bottom w:w="0" w:type="dxa"/>
            </w:tcMar>
            <w:vAlign w:val="center"/>
          </w:tcPr>
          <w:p w14:paraId="33DE5580" w14:textId="77777777" w:rsidR="00FA2BDA" w:rsidRDefault="0061149C">
            <w:pPr>
              <w:keepNext/>
              <w:keepLines/>
              <w:spacing w:after="0" w:line="240" w:lineRule="auto"/>
            </w:pPr>
            <w:r>
              <w:rPr>
                <w:sz w:val="18"/>
              </w:rPr>
              <w:t>3227</w:t>
            </w:r>
          </w:p>
        </w:tc>
        <w:tc>
          <w:tcPr>
            <w:tcW w:w="1860" w:type="dxa"/>
            <w:tcMar>
              <w:top w:w="0" w:type="dxa"/>
              <w:bottom w:w="0" w:type="dxa"/>
            </w:tcMar>
            <w:vAlign w:val="center"/>
          </w:tcPr>
          <w:p w14:paraId="7382EFEE" w14:textId="77777777" w:rsidR="00FA2BDA" w:rsidRDefault="0061149C">
            <w:pPr>
              <w:keepNext/>
              <w:keepLines/>
              <w:spacing w:after="0" w:line="240" w:lineRule="auto"/>
              <w:jc w:val="right"/>
            </w:pPr>
            <w:r>
              <w:rPr>
                <w:sz w:val="18"/>
              </w:rPr>
              <w:t>1.622,63</w:t>
            </w:r>
          </w:p>
        </w:tc>
        <w:tc>
          <w:tcPr>
            <w:tcW w:w="1860" w:type="dxa"/>
            <w:tcMar>
              <w:top w:w="0" w:type="dxa"/>
              <w:bottom w:w="0" w:type="dxa"/>
            </w:tcMar>
            <w:vAlign w:val="center"/>
          </w:tcPr>
          <w:p w14:paraId="013B74E7" w14:textId="77777777" w:rsidR="00FA2BDA" w:rsidRDefault="0061149C">
            <w:pPr>
              <w:keepNext/>
              <w:keepLines/>
              <w:spacing w:after="0" w:line="240" w:lineRule="auto"/>
              <w:jc w:val="right"/>
            </w:pPr>
            <w:r>
              <w:rPr>
                <w:sz w:val="18"/>
              </w:rPr>
              <w:t>948,20</w:t>
            </w:r>
          </w:p>
        </w:tc>
        <w:tc>
          <w:tcPr>
            <w:tcW w:w="700" w:type="dxa"/>
            <w:tcMar>
              <w:top w:w="0" w:type="dxa"/>
              <w:bottom w:w="0" w:type="dxa"/>
            </w:tcMar>
            <w:vAlign w:val="center"/>
          </w:tcPr>
          <w:p w14:paraId="610063B5" w14:textId="77777777" w:rsidR="00FA2BDA" w:rsidRDefault="0061149C">
            <w:pPr>
              <w:keepNext/>
              <w:keepLines/>
              <w:spacing w:after="0" w:line="240" w:lineRule="auto"/>
              <w:jc w:val="right"/>
            </w:pPr>
            <w:r>
              <w:rPr>
                <w:sz w:val="18"/>
              </w:rPr>
              <w:t>58,4</w:t>
            </w:r>
          </w:p>
        </w:tc>
      </w:tr>
    </w:tbl>
    <w:p w14:paraId="3C4DB771" w14:textId="77777777" w:rsidR="00FA2BDA" w:rsidRDefault="00FA2BDA">
      <w:pPr>
        <w:spacing w:after="0"/>
      </w:pPr>
    </w:p>
    <w:p w14:paraId="0C834AF0" w14:textId="77777777" w:rsidR="00FA2BDA" w:rsidRDefault="0061149C">
      <w:pPr>
        <w:spacing w:line="240" w:lineRule="auto"/>
        <w:jc w:val="both"/>
      </w:pPr>
      <w:r>
        <w:t xml:space="preserve">Službena, radna i zaštitna odjeća i obuća bilježi ostvarenje od 948,20 EUR te pad indeksa na 58,4 jer smo u istom razdoblju 2024. godine </w:t>
      </w:r>
      <w:r>
        <w:t>nabavljali radnu odjeću spremačicama i  kuharima, a prema Pravilniku nabave službene i zaštitne odjeće i obuće, a 2025. godine smo nabavljali samo obuću što je bio manji trošak.</w:t>
      </w:r>
    </w:p>
    <w:p w14:paraId="23DE8758" w14:textId="77777777" w:rsidR="00FA2BDA" w:rsidRDefault="00FA2BDA"/>
    <w:p w14:paraId="2AFB109D" w14:textId="77777777" w:rsidR="00FA2BDA" w:rsidRDefault="0061149C">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05A7C71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CB9221C"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55E8C86"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741D05C"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2E357E7" w14:textId="77777777" w:rsidR="00FA2BDA" w:rsidRDefault="0061149C">
            <w:pPr>
              <w:keepNext/>
              <w:keepLines/>
              <w:spacing w:after="0" w:line="240" w:lineRule="auto"/>
              <w:jc w:val="center"/>
            </w:pPr>
            <w:r>
              <w:rPr>
                <w:b/>
                <w:sz w:val="18"/>
              </w:rPr>
              <w:t>Ostvareno u izvještajnom r</w:t>
            </w:r>
            <w:r>
              <w:rPr>
                <w:b/>
                <w:sz w:val="18"/>
              </w:rPr>
              <w:t>azdoblju prethodne godine</w:t>
            </w:r>
          </w:p>
        </w:tc>
        <w:tc>
          <w:tcPr>
            <w:tcW w:w="1860" w:type="dxa"/>
            <w:shd w:val="clear" w:color="auto" w:fill="E7F0F9"/>
            <w:tcMar>
              <w:top w:w="0" w:type="dxa"/>
              <w:bottom w:w="0" w:type="dxa"/>
            </w:tcMar>
            <w:vAlign w:val="center"/>
          </w:tcPr>
          <w:p w14:paraId="56B003C5"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98D8804" w14:textId="77777777" w:rsidR="00FA2BDA" w:rsidRDefault="0061149C">
            <w:pPr>
              <w:keepNext/>
              <w:keepLines/>
              <w:spacing w:after="0" w:line="240" w:lineRule="auto"/>
              <w:jc w:val="center"/>
            </w:pPr>
            <w:r>
              <w:rPr>
                <w:b/>
                <w:sz w:val="18"/>
              </w:rPr>
              <w:t>Indeks (%)</w:t>
            </w:r>
          </w:p>
        </w:tc>
      </w:tr>
      <w:tr w:rsidR="00FA2BDA" w14:paraId="21F18EBA" w14:textId="77777777">
        <w:tblPrEx>
          <w:tblCellMar>
            <w:top w:w="0" w:type="dxa"/>
            <w:bottom w:w="0" w:type="dxa"/>
          </w:tblCellMar>
        </w:tblPrEx>
        <w:trPr>
          <w:cantSplit/>
          <w:trHeight w:val="560"/>
        </w:trPr>
        <w:tc>
          <w:tcPr>
            <w:tcW w:w="700" w:type="dxa"/>
            <w:tcMar>
              <w:top w:w="0" w:type="dxa"/>
              <w:bottom w:w="0" w:type="dxa"/>
            </w:tcMar>
            <w:vAlign w:val="center"/>
          </w:tcPr>
          <w:p w14:paraId="108C80D7" w14:textId="77777777" w:rsidR="00FA2BDA" w:rsidRDefault="0061149C">
            <w:pPr>
              <w:keepNext/>
              <w:keepLines/>
              <w:spacing w:after="0" w:line="240" w:lineRule="auto"/>
            </w:pPr>
            <w:r>
              <w:rPr>
                <w:sz w:val="18"/>
              </w:rPr>
              <w:t>3231</w:t>
            </w:r>
          </w:p>
        </w:tc>
        <w:tc>
          <w:tcPr>
            <w:tcW w:w="3180" w:type="dxa"/>
            <w:tcMar>
              <w:top w:w="0" w:type="dxa"/>
              <w:bottom w:w="0" w:type="dxa"/>
            </w:tcMar>
            <w:vAlign w:val="center"/>
          </w:tcPr>
          <w:p w14:paraId="79376B47" w14:textId="77777777" w:rsidR="00FA2BDA" w:rsidRDefault="0061149C">
            <w:pPr>
              <w:keepNext/>
              <w:keepLines/>
              <w:spacing w:after="0" w:line="240" w:lineRule="auto"/>
            </w:pPr>
            <w:r>
              <w:rPr>
                <w:sz w:val="18"/>
              </w:rPr>
              <w:t>Usluge telefona, interneta, pošte i prijevoza</w:t>
            </w:r>
          </w:p>
        </w:tc>
        <w:tc>
          <w:tcPr>
            <w:tcW w:w="700" w:type="dxa"/>
            <w:tcMar>
              <w:top w:w="0" w:type="dxa"/>
              <w:bottom w:w="0" w:type="dxa"/>
            </w:tcMar>
            <w:vAlign w:val="center"/>
          </w:tcPr>
          <w:p w14:paraId="5E1B8551" w14:textId="77777777" w:rsidR="00FA2BDA" w:rsidRDefault="0061149C">
            <w:pPr>
              <w:keepNext/>
              <w:keepLines/>
              <w:spacing w:after="0" w:line="240" w:lineRule="auto"/>
            </w:pPr>
            <w:r>
              <w:rPr>
                <w:sz w:val="18"/>
              </w:rPr>
              <w:t>3231</w:t>
            </w:r>
          </w:p>
        </w:tc>
        <w:tc>
          <w:tcPr>
            <w:tcW w:w="1860" w:type="dxa"/>
            <w:tcMar>
              <w:top w:w="0" w:type="dxa"/>
              <w:bottom w:w="0" w:type="dxa"/>
            </w:tcMar>
            <w:vAlign w:val="center"/>
          </w:tcPr>
          <w:p w14:paraId="60D65E73" w14:textId="77777777" w:rsidR="00FA2BDA" w:rsidRDefault="0061149C">
            <w:pPr>
              <w:keepNext/>
              <w:keepLines/>
              <w:spacing w:after="0" w:line="240" w:lineRule="auto"/>
              <w:jc w:val="right"/>
            </w:pPr>
            <w:r>
              <w:rPr>
                <w:sz w:val="18"/>
              </w:rPr>
              <w:t>116.213,37</w:t>
            </w:r>
          </w:p>
        </w:tc>
        <w:tc>
          <w:tcPr>
            <w:tcW w:w="1860" w:type="dxa"/>
            <w:tcMar>
              <w:top w:w="0" w:type="dxa"/>
              <w:bottom w:w="0" w:type="dxa"/>
            </w:tcMar>
            <w:vAlign w:val="center"/>
          </w:tcPr>
          <w:p w14:paraId="1AF23C71" w14:textId="77777777" w:rsidR="00FA2BDA" w:rsidRDefault="0061149C">
            <w:pPr>
              <w:keepNext/>
              <w:keepLines/>
              <w:spacing w:after="0" w:line="240" w:lineRule="auto"/>
              <w:jc w:val="right"/>
            </w:pPr>
            <w:r>
              <w:rPr>
                <w:sz w:val="18"/>
              </w:rPr>
              <w:t>126.836,06</w:t>
            </w:r>
          </w:p>
        </w:tc>
        <w:tc>
          <w:tcPr>
            <w:tcW w:w="700" w:type="dxa"/>
            <w:tcMar>
              <w:top w:w="0" w:type="dxa"/>
              <w:bottom w:w="0" w:type="dxa"/>
            </w:tcMar>
            <w:vAlign w:val="center"/>
          </w:tcPr>
          <w:p w14:paraId="5A058CA5" w14:textId="77777777" w:rsidR="00FA2BDA" w:rsidRDefault="0061149C">
            <w:pPr>
              <w:keepNext/>
              <w:keepLines/>
              <w:spacing w:after="0" w:line="240" w:lineRule="auto"/>
              <w:jc w:val="right"/>
            </w:pPr>
            <w:r>
              <w:rPr>
                <w:sz w:val="18"/>
              </w:rPr>
              <w:t>109,1</w:t>
            </w:r>
          </w:p>
        </w:tc>
      </w:tr>
    </w:tbl>
    <w:p w14:paraId="4AFD47EB" w14:textId="77777777" w:rsidR="00FA2BDA" w:rsidRDefault="00FA2BDA">
      <w:pPr>
        <w:spacing w:after="0"/>
      </w:pPr>
    </w:p>
    <w:p w14:paraId="71BCCDBF" w14:textId="77777777" w:rsidR="00FA2BDA" w:rsidRDefault="0061149C">
      <w:pPr>
        <w:spacing w:line="240" w:lineRule="auto"/>
        <w:jc w:val="both"/>
      </w:pPr>
      <w:r>
        <w:t xml:space="preserve">Usluge telefona, pošte i prijevoza imaju ostvarenje od 126.836,06 EUR i </w:t>
      </w:r>
      <w:r>
        <w:t>bilježe indeks od 109,1 jer je povećana cijena prijevoza učenika prema novom ugovoru sklopljenom s dobavljačem.</w:t>
      </w:r>
    </w:p>
    <w:p w14:paraId="732E0E3F" w14:textId="77777777" w:rsidR="00FA2BDA" w:rsidRDefault="00FA2BDA"/>
    <w:p w14:paraId="48E57C73" w14:textId="77777777" w:rsidR="00FA2BDA" w:rsidRDefault="0061149C">
      <w:pPr>
        <w:keepNext/>
        <w:spacing w:line="240" w:lineRule="auto"/>
        <w:jc w:val="center"/>
      </w:pPr>
      <w:r>
        <w:rPr>
          <w:sz w:val="28"/>
        </w:rPr>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3C57305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6E42178"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8E4BC55"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A19C426"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986B347"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F98A3F3" w14:textId="77777777" w:rsidR="00FA2BDA" w:rsidRDefault="0061149C">
            <w:pPr>
              <w:keepNext/>
              <w:keepLines/>
              <w:spacing w:after="0" w:line="240" w:lineRule="auto"/>
              <w:jc w:val="center"/>
            </w:pPr>
            <w:r>
              <w:rPr>
                <w:b/>
                <w:sz w:val="18"/>
              </w:rPr>
              <w:t>Ostvareno u izvještajnom razdoblju tekuć</w:t>
            </w:r>
            <w:r>
              <w:rPr>
                <w:b/>
                <w:sz w:val="18"/>
              </w:rPr>
              <w:t>e godine</w:t>
            </w:r>
          </w:p>
        </w:tc>
        <w:tc>
          <w:tcPr>
            <w:tcW w:w="700" w:type="dxa"/>
            <w:shd w:val="clear" w:color="auto" w:fill="E7F0F9"/>
            <w:tcMar>
              <w:top w:w="0" w:type="dxa"/>
              <w:bottom w:w="0" w:type="dxa"/>
            </w:tcMar>
            <w:vAlign w:val="center"/>
          </w:tcPr>
          <w:p w14:paraId="4DD69677" w14:textId="77777777" w:rsidR="00FA2BDA" w:rsidRDefault="0061149C">
            <w:pPr>
              <w:keepNext/>
              <w:keepLines/>
              <w:spacing w:after="0" w:line="240" w:lineRule="auto"/>
              <w:jc w:val="center"/>
            </w:pPr>
            <w:r>
              <w:rPr>
                <w:b/>
                <w:sz w:val="18"/>
              </w:rPr>
              <w:t>Indeks (%)</w:t>
            </w:r>
          </w:p>
        </w:tc>
      </w:tr>
      <w:tr w:rsidR="00FA2BDA" w14:paraId="2B8ECBE4" w14:textId="77777777">
        <w:tblPrEx>
          <w:tblCellMar>
            <w:top w:w="0" w:type="dxa"/>
            <w:bottom w:w="0" w:type="dxa"/>
          </w:tblCellMar>
        </w:tblPrEx>
        <w:trPr>
          <w:cantSplit/>
          <w:trHeight w:val="560"/>
        </w:trPr>
        <w:tc>
          <w:tcPr>
            <w:tcW w:w="700" w:type="dxa"/>
            <w:tcMar>
              <w:top w:w="0" w:type="dxa"/>
              <w:bottom w:w="0" w:type="dxa"/>
            </w:tcMar>
            <w:vAlign w:val="center"/>
          </w:tcPr>
          <w:p w14:paraId="77E75784" w14:textId="77777777" w:rsidR="00FA2BDA" w:rsidRDefault="0061149C">
            <w:pPr>
              <w:keepNext/>
              <w:keepLines/>
              <w:spacing w:after="0" w:line="240" w:lineRule="auto"/>
            </w:pPr>
            <w:r>
              <w:rPr>
                <w:sz w:val="18"/>
              </w:rPr>
              <w:t>3232</w:t>
            </w:r>
          </w:p>
        </w:tc>
        <w:tc>
          <w:tcPr>
            <w:tcW w:w="3180" w:type="dxa"/>
            <w:tcMar>
              <w:top w:w="0" w:type="dxa"/>
              <w:bottom w:w="0" w:type="dxa"/>
            </w:tcMar>
            <w:vAlign w:val="center"/>
          </w:tcPr>
          <w:p w14:paraId="01156D33" w14:textId="77777777" w:rsidR="00FA2BDA" w:rsidRDefault="0061149C">
            <w:pPr>
              <w:keepNext/>
              <w:keepLines/>
              <w:spacing w:after="0" w:line="240" w:lineRule="auto"/>
            </w:pPr>
            <w:r>
              <w:rPr>
                <w:sz w:val="18"/>
              </w:rPr>
              <w:t>Usluge tekućeg i investicijskog održavanja</w:t>
            </w:r>
          </w:p>
        </w:tc>
        <w:tc>
          <w:tcPr>
            <w:tcW w:w="700" w:type="dxa"/>
            <w:tcMar>
              <w:top w:w="0" w:type="dxa"/>
              <w:bottom w:w="0" w:type="dxa"/>
            </w:tcMar>
            <w:vAlign w:val="center"/>
          </w:tcPr>
          <w:p w14:paraId="2E0AF5F3" w14:textId="77777777" w:rsidR="00FA2BDA" w:rsidRDefault="0061149C">
            <w:pPr>
              <w:keepNext/>
              <w:keepLines/>
              <w:spacing w:after="0" w:line="240" w:lineRule="auto"/>
            </w:pPr>
            <w:r>
              <w:rPr>
                <w:sz w:val="18"/>
              </w:rPr>
              <w:t>3232</w:t>
            </w:r>
          </w:p>
        </w:tc>
        <w:tc>
          <w:tcPr>
            <w:tcW w:w="1860" w:type="dxa"/>
            <w:tcMar>
              <w:top w:w="0" w:type="dxa"/>
              <w:bottom w:w="0" w:type="dxa"/>
            </w:tcMar>
            <w:vAlign w:val="center"/>
          </w:tcPr>
          <w:p w14:paraId="758A3C7F" w14:textId="77777777" w:rsidR="00FA2BDA" w:rsidRDefault="0061149C">
            <w:pPr>
              <w:keepNext/>
              <w:keepLines/>
              <w:spacing w:after="0" w:line="240" w:lineRule="auto"/>
              <w:jc w:val="right"/>
            </w:pPr>
            <w:r>
              <w:rPr>
                <w:sz w:val="18"/>
              </w:rPr>
              <w:t>4.643,51</w:t>
            </w:r>
          </w:p>
        </w:tc>
        <w:tc>
          <w:tcPr>
            <w:tcW w:w="1860" w:type="dxa"/>
            <w:tcMar>
              <w:top w:w="0" w:type="dxa"/>
              <w:bottom w:w="0" w:type="dxa"/>
            </w:tcMar>
            <w:vAlign w:val="center"/>
          </w:tcPr>
          <w:p w14:paraId="533FDBF2" w14:textId="77777777" w:rsidR="00FA2BDA" w:rsidRDefault="0061149C">
            <w:pPr>
              <w:keepNext/>
              <w:keepLines/>
              <w:spacing w:after="0" w:line="240" w:lineRule="auto"/>
              <w:jc w:val="right"/>
            </w:pPr>
            <w:r>
              <w:rPr>
                <w:sz w:val="18"/>
              </w:rPr>
              <w:t>8.899,54</w:t>
            </w:r>
          </w:p>
        </w:tc>
        <w:tc>
          <w:tcPr>
            <w:tcW w:w="700" w:type="dxa"/>
            <w:tcMar>
              <w:top w:w="0" w:type="dxa"/>
              <w:bottom w:w="0" w:type="dxa"/>
            </w:tcMar>
            <w:vAlign w:val="center"/>
          </w:tcPr>
          <w:p w14:paraId="53E5A243" w14:textId="77777777" w:rsidR="00FA2BDA" w:rsidRDefault="0061149C">
            <w:pPr>
              <w:keepNext/>
              <w:keepLines/>
              <w:spacing w:after="0" w:line="240" w:lineRule="auto"/>
              <w:jc w:val="right"/>
            </w:pPr>
            <w:r>
              <w:rPr>
                <w:sz w:val="18"/>
              </w:rPr>
              <w:t>191,7</w:t>
            </w:r>
          </w:p>
        </w:tc>
      </w:tr>
    </w:tbl>
    <w:p w14:paraId="2030C4B8" w14:textId="77777777" w:rsidR="00FA2BDA" w:rsidRDefault="00FA2BDA">
      <w:pPr>
        <w:spacing w:after="0"/>
      </w:pPr>
    </w:p>
    <w:p w14:paraId="09F786FC" w14:textId="77777777" w:rsidR="00FA2BDA" w:rsidRDefault="0061149C">
      <w:pPr>
        <w:spacing w:line="240" w:lineRule="auto"/>
        <w:jc w:val="both"/>
      </w:pPr>
      <w:r>
        <w:t xml:space="preserve">Usluge tekućeg i </w:t>
      </w:r>
      <w:proofErr w:type="spellStart"/>
      <w:r>
        <w:t>inv</w:t>
      </w:r>
      <w:proofErr w:type="spellEnd"/>
      <w:r>
        <w:t xml:space="preserve">. održavanja ostvarene su u iznosu od 8.899,54 EUR te je rast indeksa na 191,7 zato što smo u 2025. godini imali trošak zamjene </w:t>
      </w:r>
      <w:r>
        <w:t>filtera na rekuperatorima i klima komorama te servis svih klima uređaja, a u 2024. godini nismo mijenjali filtere, a servis klima uređaja smo napravili u drugom polugodištu godine.</w:t>
      </w:r>
    </w:p>
    <w:p w14:paraId="7802379A" w14:textId="77777777" w:rsidR="00FA2BDA" w:rsidRDefault="00FA2BDA"/>
    <w:p w14:paraId="081C08C8" w14:textId="77777777" w:rsidR="00FA2BDA" w:rsidRDefault="0061149C">
      <w:pPr>
        <w:keepNext/>
        <w:spacing w:line="240" w:lineRule="auto"/>
        <w:jc w:val="center"/>
      </w:pPr>
      <w:r>
        <w:rPr>
          <w:sz w:val="28"/>
        </w:rPr>
        <w:t>Bilješka 28.</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5FDF3B8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689A19F"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90A16BE"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31769E3"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44614C3" w14:textId="77777777" w:rsidR="00FA2BDA" w:rsidRDefault="0061149C">
            <w:pPr>
              <w:keepNext/>
              <w:keepLines/>
              <w:spacing w:after="0" w:line="240" w:lineRule="auto"/>
              <w:jc w:val="center"/>
            </w:pPr>
            <w:r>
              <w:rPr>
                <w:b/>
                <w:sz w:val="18"/>
              </w:rPr>
              <w:t xml:space="preserve">Ostvareno u </w:t>
            </w:r>
            <w:r>
              <w:rPr>
                <w:b/>
                <w:sz w:val="18"/>
              </w:rPr>
              <w:t>izvještajnom razdoblju prethodne godine</w:t>
            </w:r>
          </w:p>
        </w:tc>
        <w:tc>
          <w:tcPr>
            <w:tcW w:w="1860" w:type="dxa"/>
            <w:shd w:val="clear" w:color="auto" w:fill="E7F0F9"/>
            <w:tcMar>
              <w:top w:w="0" w:type="dxa"/>
              <w:bottom w:w="0" w:type="dxa"/>
            </w:tcMar>
            <w:vAlign w:val="center"/>
          </w:tcPr>
          <w:p w14:paraId="6F975ADF"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C861BA5" w14:textId="77777777" w:rsidR="00FA2BDA" w:rsidRDefault="0061149C">
            <w:pPr>
              <w:keepNext/>
              <w:keepLines/>
              <w:spacing w:after="0" w:line="240" w:lineRule="auto"/>
              <w:jc w:val="center"/>
            </w:pPr>
            <w:r>
              <w:rPr>
                <w:b/>
                <w:sz w:val="18"/>
              </w:rPr>
              <w:t>Indeks (%)</w:t>
            </w:r>
          </w:p>
        </w:tc>
      </w:tr>
      <w:tr w:rsidR="00FA2BDA" w14:paraId="6EA90C1A" w14:textId="77777777">
        <w:tblPrEx>
          <w:tblCellMar>
            <w:top w:w="0" w:type="dxa"/>
            <w:bottom w:w="0" w:type="dxa"/>
          </w:tblCellMar>
        </w:tblPrEx>
        <w:trPr>
          <w:cantSplit/>
          <w:trHeight w:val="560"/>
        </w:trPr>
        <w:tc>
          <w:tcPr>
            <w:tcW w:w="700" w:type="dxa"/>
            <w:tcMar>
              <w:top w:w="0" w:type="dxa"/>
              <w:bottom w:w="0" w:type="dxa"/>
            </w:tcMar>
            <w:vAlign w:val="center"/>
          </w:tcPr>
          <w:p w14:paraId="11FB2819" w14:textId="77777777" w:rsidR="00FA2BDA" w:rsidRDefault="0061149C">
            <w:pPr>
              <w:keepNext/>
              <w:keepLines/>
              <w:spacing w:after="0" w:line="240" w:lineRule="auto"/>
            </w:pPr>
            <w:r>
              <w:rPr>
                <w:sz w:val="18"/>
              </w:rPr>
              <w:t>3236</w:t>
            </w:r>
          </w:p>
        </w:tc>
        <w:tc>
          <w:tcPr>
            <w:tcW w:w="3180" w:type="dxa"/>
            <w:tcMar>
              <w:top w:w="0" w:type="dxa"/>
              <w:bottom w:w="0" w:type="dxa"/>
            </w:tcMar>
            <w:vAlign w:val="center"/>
          </w:tcPr>
          <w:p w14:paraId="6B3E0532" w14:textId="77777777" w:rsidR="00FA2BDA" w:rsidRDefault="0061149C">
            <w:pPr>
              <w:keepNext/>
              <w:keepLines/>
              <w:spacing w:after="0" w:line="240" w:lineRule="auto"/>
            </w:pPr>
            <w:r>
              <w:rPr>
                <w:sz w:val="18"/>
              </w:rPr>
              <w:t>Zdravstvene i veterinarske usluge</w:t>
            </w:r>
          </w:p>
        </w:tc>
        <w:tc>
          <w:tcPr>
            <w:tcW w:w="700" w:type="dxa"/>
            <w:tcMar>
              <w:top w:w="0" w:type="dxa"/>
              <w:bottom w:w="0" w:type="dxa"/>
            </w:tcMar>
            <w:vAlign w:val="center"/>
          </w:tcPr>
          <w:p w14:paraId="455A3F42" w14:textId="77777777" w:rsidR="00FA2BDA" w:rsidRDefault="0061149C">
            <w:pPr>
              <w:keepNext/>
              <w:keepLines/>
              <w:spacing w:after="0" w:line="240" w:lineRule="auto"/>
            </w:pPr>
            <w:r>
              <w:rPr>
                <w:sz w:val="18"/>
              </w:rPr>
              <w:t>3236</w:t>
            </w:r>
          </w:p>
        </w:tc>
        <w:tc>
          <w:tcPr>
            <w:tcW w:w="1860" w:type="dxa"/>
            <w:tcMar>
              <w:top w:w="0" w:type="dxa"/>
              <w:bottom w:w="0" w:type="dxa"/>
            </w:tcMar>
            <w:vAlign w:val="center"/>
          </w:tcPr>
          <w:p w14:paraId="323996A0" w14:textId="77777777" w:rsidR="00FA2BDA" w:rsidRDefault="0061149C">
            <w:pPr>
              <w:keepNext/>
              <w:keepLines/>
              <w:spacing w:after="0" w:line="240" w:lineRule="auto"/>
              <w:jc w:val="right"/>
            </w:pPr>
            <w:r>
              <w:rPr>
                <w:sz w:val="18"/>
              </w:rPr>
              <w:t>2.271,62</w:t>
            </w:r>
          </w:p>
        </w:tc>
        <w:tc>
          <w:tcPr>
            <w:tcW w:w="1860" w:type="dxa"/>
            <w:tcMar>
              <w:top w:w="0" w:type="dxa"/>
              <w:bottom w:w="0" w:type="dxa"/>
            </w:tcMar>
            <w:vAlign w:val="center"/>
          </w:tcPr>
          <w:p w14:paraId="6654552F" w14:textId="77777777" w:rsidR="00FA2BDA" w:rsidRDefault="0061149C">
            <w:pPr>
              <w:keepNext/>
              <w:keepLines/>
              <w:spacing w:after="0" w:line="240" w:lineRule="auto"/>
              <w:jc w:val="right"/>
            </w:pPr>
            <w:r>
              <w:rPr>
                <w:sz w:val="18"/>
              </w:rPr>
              <w:t>4.435,80</w:t>
            </w:r>
          </w:p>
        </w:tc>
        <w:tc>
          <w:tcPr>
            <w:tcW w:w="700" w:type="dxa"/>
            <w:tcMar>
              <w:top w:w="0" w:type="dxa"/>
              <w:bottom w:w="0" w:type="dxa"/>
            </w:tcMar>
            <w:vAlign w:val="center"/>
          </w:tcPr>
          <w:p w14:paraId="4C54DCD7" w14:textId="77777777" w:rsidR="00FA2BDA" w:rsidRDefault="0061149C">
            <w:pPr>
              <w:keepNext/>
              <w:keepLines/>
              <w:spacing w:after="0" w:line="240" w:lineRule="auto"/>
              <w:jc w:val="right"/>
            </w:pPr>
            <w:r>
              <w:rPr>
                <w:sz w:val="18"/>
              </w:rPr>
              <w:t>195,3</w:t>
            </w:r>
          </w:p>
        </w:tc>
      </w:tr>
    </w:tbl>
    <w:p w14:paraId="66424624" w14:textId="77777777" w:rsidR="00FA2BDA" w:rsidRDefault="00FA2BDA">
      <w:pPr>
        <w:spacing w:after="0"/>
      </w:pPr>
    </w:p>
    <w:p w14:paraId="1789C74B" w14:textId="77777777" w:rsidR="00FA2BDA" w:rsidRDefault="0061149C">
      <w:pPr>
        <w:spacing w:line="240" w:lineRule="auto"/>
        <w:jc w:val="both"/>
      </w:pPr>
      <w:r>
        <w:t xml:space="preserve">Zdravstvene i veterinarske usluge su ostvarene u iznosu od 4.435,80 EUR i </w:t>
      </w:r>
      <w:r>
        <w:t>bilježe rast indeksa na 195,3 jer je veći broj djelatnika iskoristio svoje pravo na sistematski pregled.</w:t>
      </w:r>
    </w:p>
    <w:p w14:paraId="1BAF5786" w14:textId="77777777" w:rsidR="00FA2BDA" w:rsidRDefault="00FA2BDA"/>
    <w:p w14:paraId="30BD69E6" w14:textId="77777777" w:rsidR="00FA2BDA" w:rsidRDefault="0061149C">
      <w:pPr>
        <w:keepNext/>
        <w:spacing w:line="240" w:lineRule="auto"/>
        <w:jc w:val="center"/>
      </w:pPr>
      <w:r>
        <w:rPr>
          <w:sz w:val="28"/>
        </w:rPr>
        <w:t>Bilješka 29.</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37F512A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D947B90"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4552970"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2239DB6"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B65F183"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0EEF062" w14:textId="77777777" w:rsidR="00FA2BDA" w:rsidRDefault="0061149C">
            <w:pPr>
              <w:keepNext/>
              <w:keepLines/>
              <w:spacing w:after="0" w:line="240" w:lineRule="auto"/>
              <w:jc w:val="center"/>
            </w:pPr>
            <w:r>
              <w:rPr>
                <w:b/>
                <w:sz w:val="18"/>
              </w:rPr>
              <w:t>Ostvareno u izvještajnom razdoblju tekuće godin</w:t>
            </w:r>
            <w:r>
              <w:rPr>
                <w:b/>
                <w:sz w:val="18"/>
              </w:rPr>
              <w:t>e</w:t>
            </w:r>
          </w:p>
        </w:tc>
        <w:tc>
          <w:tcPr>
            <w:tcW w:w="700" w:type="dxa"/>
            <w:shd w:val="clear" w:color="auto" w:fill="E7F0F9"/>
            <w:tcMar>
              <w:top w:w="0" w:type="dxa"/>
              <w:bottom w:w="0" w:type="dxa"/>
            </w:tcMar>
            <w:vAlign w:val="center"/>
          </w:tcPr>
          <w:p w14:paraId="69889626" w14:textId="77777777" w:rsidR="00FA2BDA" w:rsidRDefault="0061149C">
            <w:pPr>
              <w:keepNext/>
              <w:keepLines/>
              <w:spacing w:after="0" w:line="240" w:lineRule="auto"/>
              <w:jc w:val="center"/>
            </w:pPr>
            <w:r>
              <w:rPr>
                <w:b/>
                <w:sz w:val="18"/>
              </w:rPr>
              <w:t>Indeks (%)</w:t>
            </w:r>
          </w:p>
        </w:tc>
      </w:tr>
      <w:tr w:rsidR="00FA2BDA" w14:paraId="0F6E9077" w14:textId="77777777">
        <w:tblPrEx>
          <w:tblCellMar>
            <w:top w:w="0" w:type="dxa"/>
            <w:bottom w:w="0" w:type="dxa"/>
          </w:tblCellMar>
        </w:tblPrEx>
        <w:trPr>
          <w:cantSplit/>
          <w:trHeight w:val="560"/>
        </w:trPr>
        <w:tc>
          <w:tcPr>
            <w:tcW w:w="700" w:type="dxa"/>
            <w:tcMar>
              <w:top w:w="0" w:type="dxa"/>
              <w:bottom w:w="0" w:type="dxa"/>
            </w:tcMar>
            <w:vAlign w:val="center"/>
          </w:tcPr>
          <w:p w14:paraId="4FD8CC8F" w14:textId="77777777" w:rsidR="00FA2BDA" w:rsidRDefault="0061149C">
            <w:pPr>
              <w:keepNext/>
              <w:keepLines/>
              <w:spacing w:after="0" w:line="240" w:lineRule="auto"/>
            </w:pPr>
            <w:r>
              <w:rPr>
                <w:sz w:val="18"/>
              </w:rPr>
              <w:t>3237</w:t>
            </w:r>
          </w:p>
        </w:tc>
        <w:tc>
          <w:tcPr>
            <w:tcW w:w="3180" w:type="dxa"/>
            <w:tcMar>
              <w:top w:w="0" w:type="dxa"/>
              <w:bottom w:w="0" w:type="dxa"/>
            </w:tcMar>
            <w:vAlign w:val="center"/>
          </w:tcPr>
          <w:p w14:paraId="4B2C5F84" w14:textId="77777777" w:rsidR="00FA2BDA" w:rsidRDefault="0061149C">
            <w:pPr>
              <w:keepNext/>
              <w:keepLines/>
              <w:spacing w:after="0" w:line="240" w:lineRule="auto"/>
            </w:pPr>
            <w:r>
              <w:rPr>
                <w:sz w:val="18"/>
              </w:rPr>
              <w:t>Intelektualne i osobne usluge</w:t>
            </w:r>
          </w:p>
        </w:tc>
        <w:tc>
          <w:tcPr>
            <w:tcW w:w="700" w:type="dxa"/>
            <w:tcMar>
              <w:top w:w="0" w:type="dxa"/>
              <w:bottom w:w="0" w:type="dxa"/>
            </w:tcMar>
            <w:vAlign w:val="center"/>
          </w:tcPr>
          <w:p w14:paraId="0059356E" w14:textId="77777777" w:rsidR="00FA2BDA" w:rsidRDefault="0061149C">
            <w:pPr>
              <w:keepNext/>
              <w:keepLines/>
              <w:spacing w:after="0" w:line="240" w:lineRule="auto"/>
            </w:pPr>
            <w:r>
              <w:rPr>
                <w:sz w:val="18"/>
              </w:rPr>
              <w:t>3237</w:t>
            </w:r>
          </w:p>
        </w:tc>
        <w:tc>
          <w:tcPr>
            <w:tcW w:w="1860" w:type="dxa"/>
            <w:tcMar>
              <w:top w:w="0" w:type="dxa"/>
              <w:bottom w:w="0" w:type="dxa"/>
            </w:tcMar>
            <w:vAlign w:val="center"/>
          </w:tcPr>
          <w:p w14:paraId="796374B4" w14:textId="77777777" w:rsidR="00FA2BDA" w:rsidRDefault="0061149C">
            <w:pPr>
              <w:keepNext/>
              <w:keepLines/>
              <w:spacing w:after="0" w:line="240" w:lineRule="auto"/>
              <w:jc w:val="right"/>
            </w:pPr>
            <w:r>
              <w:rPr>
                <w:sz w:val="18"/>
              </w:rPr>
              <w:t>678,02</w:t>
            </w:r>
          </w:p>
        </w:tc>
        <w:tc>
          <w:tcPr>
            <w:tcW w:w="1860" w:type="dxa"/>
            <w:tcMar>
              <w:top w:w="0" w:type="dxa"/>
              <w:bottom w:w="0" w:type="dxa"/>
            </w:tcMar>
            <w:vAlign w:val="center"/>
          </w:tcPr>
          <w:p w14:paraId="778122FC" w14:textId="77777777" w:rsidR="00FA2BDA" w:rsidRDefault="0061149C">
            <w:pPr>
              <w:keepNext/>
              <w:keepLines/>
              <w:spacing w:after="0" w:line="240" w:lineRule="auto"/>
              <w:jc w:val="right"/>
            </w:pPr>
            <w:r>
              <w:rPr>
                <w:sz w:val="18"/>
              </w:rPr>
              <w:t>1.296,37</w:t>
            </w:r>
          </w:p>
        </w:tc>
        <w:tc>
          <w:tcPr>
            <w:tcW w:w="700" w:type="dxa"/>
            <w:tcMar>
              <w:top w:w="0" w:type="dxa"/>
              <w:bottom w:w="0" w:type="dxa"/>
            </w:tcMar>
            <w:vAlign w:val="center"/>
          </w:tcPr>
          <w:p w14:paraId="3028270B" w14:textId="77777777" w:rsidR="00FA2BDA" w:rsidRDefault="0061149C">
            <w:pPr>
              <w:keepNext/>
              <w:keepLines/>
              <w:spacing w:after="0" w:line="240" w:lineRule="auto"/>
              <w:jc w:val="right"/>
            </w:pPr>
            <w:r>
              <w:rPr>
                <w:sz w:val="18"/>
              </w:rPr>
              <w:t>191,2</w:t>
            </w:r>
          </w:p>
        </w:tc>
      </w:tr>
    </w:tbl>
    <w:p w14:paraId="1FA8D2F0" w14:textId="77777777" w:rsidR="00FA2BDA" w:rsidRDefault="00FA2BDA">
      <w:pPr>
        <w:spacing w:after="0"/>
      </w:pPr>
    </w:p>
    <w:p w14:paraId="2AB11363" w14:textId="77777777" w:rsidR="00FA2BDA" w:rsidRDefault="0061149C">
      <w:pPr>
        <w:spacing w:line="240" w:lineRule="auto"/>
        <w:jc w:val="both"/>
      </w:pPr>
      <w:r>
        <w:t xml:space="preserve">Intelektualne i osobne usluge na koje većinom knjižimo ugovore o djelu za predavače na ŽSV-ima, troškove povjerenstva za županijska natjecanja te uslugu procjene </w:t>
      </w:r>
      <w:r>
        <w:t>nekretnina, imaju ostvarenje u iznosu od 1.296,37 EUR i bilježe rast  indeksa na 191,2 najvećim dijelom jer smo u 2025. godini na taj odjeljak knjižili trošak procjene zemljišta u Koprivničkom Ivancu koje je u vlasništvu škole te elaborat sigurnosne procje</w:t>
      </w:r>
      <w:r>
        <w:t>ne zaštite objekta.</w:t>
      </w:r>
    </w:p>
    <w:p w14:paraId="66417A67" w14:textId="77777777" w:rsidR="00FA2BDA" w:rsidRDefault="00FA2BDA"/>
    <w:p w14:paraId="7901BF85" w14:textId="77777777" w:rsidR="00FA2BDA" w:rsidRDefault="0061149C">
      <w:pPr>
        <w:keepNext/>
        <w:spacing w:line="240" w:lineRule="auto"/>
        <w:jc w:val="center"/>
      </w:pPr>
      <w:r>
        <w:rPr>
          <w:sz w:val="28"/>
        </w:rPr>
        <w:t>Bilješka 30.</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736ABC6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31D460E"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51560ED"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03435C5"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DFF9FF5"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2A8483B"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CE7CB30" w14:textId="77777777" w:rsidR="00FA2BDA" w:rsidRDefault="0061149C">
            <w:pPr>
              <w:keepNext/>
              <w:keepLines/>
              <w:spacing w:after="0" w:line="240" w:lineRule="auto"/>
              <w:jc w:val="center"/>
            </w:pPr>
            <w:r>
              <w:rPr>
                <w:b/>
                <w:sz w:val="18"/>
              </w:rPr>
              <w:t>Indeks (%)</w:t>
            </w:r>
          </w:p>
        </w:tc>
      </w:tr>
      <w:tr w:rsidR="00FA2BDA" w14:paraId="52B0FA5D" w14:textId="77777777">
        <w:tblPrEx>
          <w:tblCellMar>
            <w:top w:w="0" w:type="dxa"/>
            <w:bottom w:w="0" w:type="dxa"/>
          </w:tblCellMar>
        </w:tblPrEx>
        <w:trPr>
          <w:cantSplit/>
          <w:trHeight w:val="560"/>
        </w:trPr>
        <w:tc>
          <w:tcPr>
            <w:tcW w:w="700" w:type="dxa"/>
            <w:tcMar>
              <w:top w:w="0" w:type="dxa"/>
              <w:bottom w:w="0" w:type="dxa"/>
            </w:tcMar>
            <w:vAlign w:val="center"/>
          </w:tcPr>
          <w:p w14:paraId="60CB0F63" w14:textId="77777777" w:rsidR="00FA2BDA" w:rsidRDefault="0061149C">
            <w:pPr>
              <w:keepNext/>
              <w:keepLines/>
              <w:spacing w:after="0" w:line="240" w:lineRule="auto"/>
            </w:pPr>
            <w:r>
              <w:rPr>
                <w:sz w:val="18"/>
              </w:rPr>
              <w:t>3238</w:t>
            </w:r>
          </w:p>
        </w:tc>
        <w:tc>
          <w:tcPr>
            <w:tcW w:w="3180" w:type="dxa"/>
            <w:tcMar>
              <w:top w:w="0" w:type="dxa"/>
              <w:bottom w:w="0" w:type="dxa"/>
            </w:tcMar>
            <w:vAlign w:val="center"/>
          </w:tcPr>
          <w:p w14:paraId="691A43EC" w14:textId="77777777" w:rsidR="00FA2BDA" w:rsidRDefault="0061149C">
            <w:pPr>
              <w:keepNext/>
              <w:keepLines/>
              <w:spacing w:after="0" w:line="240" w:lineRule="auto"/>
            </w:pPr>
            <w:r>
              <w:rPr>
                <w:sz w:val="18"/>
              </w:rPr>
              <w:t>Računalne usluge</w:t>
            </w:r>
          </w:p>
        </w:tc>
        <w:tc>
          <w:tcPr>
            <w:tcW w:w="700" w:type="dxa"/>
            <w:tcMar>
              <w:top w:w="0" w:type="dxa"/>
              <w:bottom w:w="0" w:type="dxa"/>
            </w:tcMar>
            <w:vAlign w:val="center"/>
          </w:tcPr>
          <w:p w14:paraId="2FAC9159" w14:textId="77777777" w:rsidR="00FA2BDA" w:rsidRDefault="0061149C">
            <w:pPr>
              <w:keepNext/>
              <w:keepLines/>
              <w:spacing w:after="0" w:line="240" w:lineRule="auto"/>
            </w:pPr>
            <w:r>
              <w:rPr>
                <w:sz w:val="18"/>
              </w:rPr>
              <w:t>3238</w:t>
            </w:r>
          </w:p>
        </w:tc>
        <w:tc>
          <w:tcPr>
            <w:tcW w:w="1860" w:type="dxa"/>
            <w:tcMar>
              <w:top w:w="0" w:type="dxa"/>
              <w:bottom w:w="0" w:type="dxa"/>
            </w:tcMar>
            <w:vAlign w:val="center"/>
          </w:tcPr>
          <w:p w14:paraId="0A50CA4B" w14:textId="77777777" w:rsidR="00FA2BDA" w:rsidRDefault="0061149C">
            <w:pPr>
              <w:keepNext/>
              <w:keepLines/>
              <w:spacing w:after="0" w:line="240" w:lineRule="auto"/>
              <w:jc w:val="right"/>
            </w:pPr>
            <w:r>
              <w:rPr>
                <w:sz w:val="18"/>
              </w:rPr>
              <w:t>2.766,86</w:t>
            </w:r>
          </w:p>
        </w:tc>
        <w:tc>
          <w:tcPr>
            <w:tcW w:w="1860" w:type="dxa"/>
            <w:tcMar>
              <w:top w:w="0" w:type="dxa"/>
              <w:bottom w:w="0" w:type="dxa"/>
            </w:tcMar>
            <w:vAlign w:val="center"/>
          </w:tcPr>
          <w:p w14:paraId="586D533F" w14:textId="77777777" w:rsidR="00FA2BDA" w:rsidRDefault="0061149C">
            <w:pPr>
              <w:keepNext/>
              <w:keepLines/>
              <w:spacing w:after="0" w:line="240" w:lineRule="auto"/>
              <w:jc w:val="right"/>
            </w:pPr>
            <w:r>
              <w:rPr>
                <w:sz w:val="18"/>
              </w:rPr>
              <w:t>2.160,60</w:t>
            </w:r>
          </w:p>
        </w:tc>
        <w:tc>
          <w:tcPr>
            <w:tcW w:w="700" w:type="dxa"/>
            <w:tcMar>
              <w:top w:w="0" w:type="dxa"/>
              <w:bottom w:w="0" w:type="dxa"/>
            </w:tcMar>
            <w:vAlign w:val="center"/>
          </w:tcPr>
          <w:p w14:paraId="751F73F8" w14:textId="77777777" w:rsidR="00FA2BDA" w:rsidRDefault="0061149C">
            <w:pPr>
              <w:keepNext/>
              <w:keepLines/>
              <w:spacing w:after="0" w:line="240" w:lineRule="auto"/>
              <w:jc w:val="right"/>
            </w:pPr>
            <w:r>
              <w:rPr>
                <w:sz w:val="18"/>
              </w:rPr>
              <w:t>78,1</w:t>
            </w:r>
          </w:p>
        </w:tc>
      </w:tr>
    </w:tbl>
    <w:p w14:paraId="6A8192A1" w14:textId="77777777" w:rsidR="00FA2BDA" w:rsidRDefault="00FA2BDA">
      <w:pPr>
        <w:spacing w:after="0"/>
      </w:pPr>
    </w:p>
    <w:p w14:paraId="07E32A52" w14:textId="77777777" w:rsidR="00FA2BDA" w:rsidRDefault="0061149C">
      <w:pPr>
        <w:spacing w:line="240" w:lineRule="auto"/>
        <w:jc w:val="both"/>
      </w:pPr>
      <w:r>
        <w:t xml:space="preserve">Računalne </w:t>
      </w:r>
      <w:r>
        <w:t>usluge bilježe ostvarenje od 2.160,60 EUR i manji indeks od 78,1 jer smo uz tekuće troškove održavanja programa i vođenja e-računa u 2024. godini morali nadoplatiti 700,00 EUR za nadogradnju informacijskog sustava zbog uvođenja praćenja transparentnosti pr</w:t>
      </w:r>
      <w:r>
        <w:t>oračuna.</w:t>
      </w:r>
    </w:p>
    <w:p w14:paraId="30DB3A9F" w14:textId="77777777" w:rsidR="00FA2BDA" w:rsidRDefault="00FA2BDA"/>
    <w:p w14:paraId="6564AD64" w14:textId="77777777" w:rsidR="00FA2BDA" w:rsidRDefault="0061149C">
      <w:pPr>
        <w:keepNext/>
        <w:spacing w:line="240" w:lineRule="auto"/>
        <w:jc w:val="center"/>
      </w:pPr>
      <w:r>
        <w:rPr>
          <w:sz w:val="28"/>
        </w:rPr>
        <w:t>Bilješka 31.</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797346B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25CC80B"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C732B5C"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9532857"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63F42C2"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3F0EC4F"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CA678C0" w14:textId="77777777" w:rsidR="00FA2BDA" w:rsidRDefault="0061149C">
            <w:pPr>
              <w:keepNext/>
              <w:keepLines/>
              <w:spacing w:after="0" w:line="240" w:lineRule="auto"/>
              <w:jc w:val="center"/>
            </w:pPr>
            <w:r>
              <w:rPr>
                <w:b/>
                <w:sz w:val="18"/>
              </w:rPr>
              <w:t>Indeks (%)</w:t>
            </w:r>
          </w:p>
        </w:tc>
      </w:tr>
      <w:tr w:rsidR="00FA2BDA" w14:paraId="1369C843" w14:textId="77777777">
        <w:tblPrEx>
          <w:tblCellMar>
            <w:top w:w="0" w:type="dxa"/>
            <w:bottom w:w="0" w:type="dxa"/>
          </w:tblCellMar>
        </w:tblPrEx>
        <w:trPr>
          <w:cantSplit/>
          <w:trHeight w:val="560"/>
        </w:trPr>
        <w:tc>
          <w:tcPr>
            <w:tcW w:w="700" w:type="dxa"/>
            <w:tcMar>
              <w:top w:w="0" w:type="dxa"/>
              <w:bottom w:w="0" w:type="dxa"/>
            </w:tcMar>
            <w:vAlign w:val="center"/>
          </w:tcPr>
          <w:p w14:paraId="566D1367" w14:textId="77777777" w:rsidR="00FA2BDA" w:rsidRDefault="0061149C">
            <w:pPr>
              <w:keepNext/>
              <w:keepLines/>
              <w:spacing w:after="0" w:line="240" w:lineRule="auto"/>
            </w:pPr>
            <w:r>
              <w:rPr>
                <w:sz w:val="18"/>
              </w:rPr>
              <w:t>3292</w:t>
            </w:r>
          </w:p>
        </w:tc>
        <w:tc>
          <w:tcPr>
            <w:tcW w:w="3180" w:type="dxa"/>
            <w:tcMar>
              <w:top w:w="0" w:type="dxa"/>
              <w:bottom w:w="0" w:type="dxa"/>
            </w:tcMar>
            <w:vAlign w:val="center"/>
          </w:tcPr>
          <w:p w14:paraId="318E3B59" w14:textId="77777777" w:rsidR="00FA2BDA" w:rsidRDefault="0061149C">
            <w:pPr>
              <w:keepNext/>
              <w:keepLines/>
              <w:spacing w:after="0" w:line="240" w:lineRule="auto"/>
            </w:pPr>
            <w:r>
              <w:rPr>
                <w:sz w:val="18"/>
              </w:rPr>
              <w:t>Premije osiguranja</w:t>
            </w:r>
          </w:p>
        </w:tc>
        <w:tc>
          <w:tcPr>
            <w:tcW w:w="700" w:type="dxa"/>
            <w:tcMar>
              <w:top w:w="0" w:type="dxa"/>
              <w:bottom w:w="0" w:type="dxa"/>
            </w:tcMar>
            <w:vAlign w:val="center"/>
          </w:tcPr>
          <w:p w14:paraId="38879282" w14:textId="77777777" w:rsidR="00FA2BDA" w:rsidRDefault="0061149C">
            <w:pPr>
              <w:keepNext/>
              <w:keepLines/>
              <w:spacing w:after="0" w:line="240" w:lineRule="auto"/>
            </w:pPr>
            <w:r>
              <w:rPr>
                <w:sz w:val="18"/>
              </w:rPr>
              <w:t>3292</w:t>
            </w:r>
          </w:p>
        </w:tc>
        <w:tc>
          <w:tcPr>
            <w:tcW w:w="1860" w:type="dxa"/>
            <w:tcMar>
              <w:top w:w="0" w:type="dxa"/>
              <w:bottom w:w="0" w:type="dxa"/>
            </w:tcMar>
            <w:vAlign w:val="center"/>
          </w:tcPr>
          <w:p w14:paraId="440C6283" w14:textId="77777777" w:rsidR="00FA2BDA" w:rsidRDefault="0061149C">
            <w:pPr>
              <w:keepNext/>
              <w:keepLines/>
              <w:spacing w:after="0" w:line="240" w:lineRule="auto"/>
              <w:jc w:val="right"/>
            </w:pPr>
            <w:r>
              <w:rPr>
                <w:sz w:val="18"/>
              </w:rPr>
              <w:t>1.053,69</w:t>
            </w:r>
          </w:p>
        </w:tc>
        <w:tc>
          <w:tcPr>
            <w:tcW w:w="1860" w:type="dxa"/>
            <w:tcMar>
              <w:top w:w="0" w:type="dxa"/>
              <w:bottom w:w="0" w:type="dxa"/>
            </w:tcMar>
            <w:vAlign w:val="center"/>
          </w:tcPr>
          <w:p w14:paraId="2A2C1AE6" w14:textId="77777777" w:rsidR="00FA2BDA" w:rsidRDefault="0061149C">
            <w:pPr>
              <w:keepNext/>
              <w:keepLines/>
              <w:spacing w:after="0" w:line="240" w:lineRule="auto"/>
              <w:jc w:val="right"/>
            </w:pPr>
            <w:r>
              <w:rPr>
                <w:sz w:val="18"/>
              </w:rPr>
              <w:t>413,09</w:t>
            </w:r>
          </w:p>
        </w:tc>
        <w:tc>
          <w:tcPr>
            <w:tcW w:w="700" w:type="dxa"/>
            <w:tcMar>
              <w:top w:w="0" w:type="dxa"/>
              <w:bottom w:w="0" w:type="dxa"/>
            </w:tcMar>
            <w:vAlign w:val="center"/>
          </w:tcPr>
          <w:p w14:paraId="7910C530" w14:textId="77777777" w:rsidR="00FA2BDA" w:rsidRDefault="0061149C">
            <w:pPr>
              <w:keepNext/>
              <w:keepLines/>
              <w:spacing w:after="0" w:line="240" w:lineRule="auto"/>
              <w:jc w:val="right"/>
            </w:pPr>
            <w:r>
              <w:rPr>
                <w:sz w:val="18"/>
              </w:rPr>
              <w:t>39,2</w:t>
            </w:r>
          </w:p>
        </w:tc>
      </w:tr>
    </w:tbl>
    <w:p w14:paraId="5C3475B3" w14:textId="77777777" w:rsidR="00FA2BDA" w:rsidRDefault="00FA2BDA">
      <w:pPr>
        <w:spacing w:after="0"/>
      </w:pPr>
    </w:p>
    <w:p w14:paraId="6394392E" w14:textId="77777777" w:rsidR="00FA2BDA" w:rsidRDefault="0061149C">
      <w:pPr>
        <w:spacing w:line="240" w:lineRule="auto"/>
        <w:jc w:val="both"/>
      </w:pPr>
      <w:r>
        <w:t xml:space="preserve">Premije osiguranja </w:t>
      </w:r>
      <w:r>
        <w:t>ostvarene su u iznosu od 413,09 EUR i bilježe pad indeksa na 39,2 jer je jedna rata više za osiguranje imovine knjižena u istom razdoblju 2024. godine.</w:t>
      </w:r>
    </w:p>
    <w:p w14:paraId="48627BCB" w14:textId="77777777" w:rsidR="00FA2BDA" w:rsidRDefault="00FA2BDA"/>
    <w:p w14:paraId="0533EBAC" w14:textId="77777777" w:rsidR="00FA2BDA" w:rsidRDefault="0061149C">
      <w:pPr>
        <w:keepNext/>
        <w:spacing w:line="240" w:lineRule="auto"/>
        <w:jc w:val="center"/>
      </w:pPr>
      <w:r>
        <w:rPr>
          <w:sz w:val="28"/>
        </w:rPr>
        <w:t>Bilješka 32.</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3FB0761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3E4DF8E"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E611BA8"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E6EEA67"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0233A53"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28151E1"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62EE268" w14:textId="77777777" w:rsidR="00FA2BDA" w:rsidRDefault="0061149C">
            <w:pPr>
              <w:keepNext/>
              <w:keepLines/>
              <w:spacing w:after="0" w:line="240" w:lineRule="auto"/>
              <w:jc w:val="center"/>
            </w:pPr>
            <w:r>
              <w:rPr>
                <w:b/>
                <w:sz w:val="18"/>
              </w:rPr>
              <w:t>Indeks (%)</w:t>
            </w:r>
          </w:p>
        </w:tc>
      </w:tr>
      <w:tr w:rsidR="00FA2BDA" w14:paraId="6DEB824E" w14:textId="77777777">
        <w:tblPrEx>
          <w:tblCellMar>
            <w:top w:w="0" w:type="dxa"/>
            <w:bottom w:w="0" w:type="dxa"/>
          </w:tblCellMar>
        </w:tblPrEx>
        <w:trPr>
          <w:cantSplit/>
          <w:trHeight w:val="560"/>
        </w:trPr>
        <w:tc>
          <w:tcPr>
            <w:tcW w:w="700" w:type="dxa"/>
            <w:tcMar>
              <w:top w:w="0" w:type="dxa"/>
              <w:bottom w:w="0" w:type="dxa"/>
            </w:tcMar>
            <w:vAlign w:val="center"/>
          </w:tcPr>
          <w:p w14:paraId="6FAE4330" w14:textId="77777777" w:rsidR="00FA2BDA" w:rsidRDefault="0061149C">
            <w:pPr>
              <w:keepNext/>
              <w:keepLines/>
              <w:spacing w:after="0" w:line="240" w:lineRule="auto"/>
            </w:pPr>
            <w:r>
              <w:rPr>
                <w:sz w:val="18"/>
              </w:rPr>
              <w:t>3293</w:t>
            </w:r>
          </w:p>
        </w:tc>
        <w:tc>
          <w:tcPr>
            <w:tcW w:w="3180" w:type="dxa"/>
            <w:tcMar>
              <w:top w:w="0" w:type="dxa"/>
              <w:bottom w:w="0" w:type="dxa"/>
            </w:tcMar>
            <w:vAlign w:val="center"/>
          </w:tcPr>
          <w:p w14:paraId="0B54808D" w14:textId="77777777" w:rsidR="00FA2BDA" w:rsidRDefault="0061149C">
            <w:pPr>
              <w:keepNext/>
              <w:keepLines/>
              <w:spacing w:after="0" w:line="240" w:lineRule="auto"/>
            </w:pPr>
            <w:r>
              <w:rPr>
                <w:sz w:val="18"/>
              </w:rPr>
              <w:t>Reprezentacija</w:t>
            </w:r>
          </w:p>
        </w:tc>
        <w:tc>
          <w:tcPr>
            <w:tcW w:w="700" w:type="dxa"/>
            <w:tcMar>
              <w:top w:w="0" w:type="dxa"/>
              <w:bottom w:w="0" w:type="dxa"/>
            </w:tcMar>
            <w:vAlign w:val="center"/>
          </w:tcPr>
          <w:p w14:paraId="43D45B4B" w14:textId="77777777" w:rsidR="00FA2BDA" w:rsidRDefault="0061149C">
            <w:pPr>
              <w:keepNext/>
              <w:keepLines/>
              <w:spacing w:after="0" w:line="240" w:lineRule="auto"/>
            </w:pPr>
            <w:r>
              <w:rPr>
                <w:sz w:val="18"/>
              </w:rPr>
              <w:t>3293</w:t>
            </w:r>
          </w:p>
        </w:tc>
        <w:tc>
          <w:tcPr>
            <w:tcW w:w="1860" w:type="dxa"/>
            <w:tcMar>
              <w:top w:w="0" w:type="dxa"/>
              <w:bottom w:w="0" w:type="dxa"/>
            </w:tcMar>
            <w:vAlign w:val="center"/>
          </w:tcPr>
          <w:p w14:paraId="44BF1D52" w14:textId="77777777" w:rsidR="00FA2BDA" w:rsidRDefault="0061149C">
            <w:pPr>
              <w:keepNext/>
              <w:keepLines/>
              <w:spacing w:after="0" w:line="240" w:lineRule="auto"/>
              <w:jc w:val="right"/>
            </w:pPr>
            <w:r>
              <w:rPr>
                <w:sz w:val="18"/>
              </w:rPr>
              <w:t>660,33</w:t>
            </w:r>
          </w:p>
        </w:tc>
        <w:tc>
          <w:tcPr>
            <w:tcW w:w="1860" w:type="dxa"/>
            <w:tcMar>
              <w:top w:w="0" w:type="dxa"/>
              <w:bottom w:w="0" w:type="dxa"/>
            </w:tcMar>
            <w:vAlign w:val="center"/>
          </w:tcPr>
          <w:p w14:paraId="72D49ACB" w14:textId="77777777" w:rsidR="00FA2BDA" w:rsidRDefault="0061149C">
            <w:pPr>
              <w:keepNext/>
              <w:keepLines/>
              <w:spacing w:after="0" w:line="240" w:lineRule="auto"/>
              <w:jc w:val="right"/>
            </w:pPr>
            <w:r>
              <w:rPr>
                <w:sz w:val="18"/>
              </w:rPr>
              <w:t>1.005,06</w:t>
            </w:r>
          </w:p>
        </w:tc>
        <w:tc>
          <w:tcPr>
            <w:tcW w:w="700" w:type="dxa"/>
            <w:tcMar>
              <w:top w:w="0" w:type="dxa"/>
              <w:bottom w:w="0" w:type="dxa"/>
            </w:tcMar>
            <w:vAlign w:val="center"/>
          </w:tcPr>
          <w:p w14:paraId="61434CF0" w14:textId="77777777" w:rsidR="00FA2BDA" w:rsidRDefault="0061149C">
            <w:pPr>
              <w:keepNext/>
              <w:keepLines/>
              <w:spacing w:after="0" w:line="240" w:lineRule="auto"/>
              <w:jc w:val="right"/>
            </w:pPr>
            <w:r>
              <w:rPr>
                <w:sz w:val="18"/>
              </w:rPr>
              <w:t>152,2</w:t>
            </w:r>
          </w:p>
        </w:tc>
      </w:tr>
    </w:tbl>
    <w:p w14:paraId="7EF2D27C" w14:textId="77777777" w:rsidR="00FA2BDA" w:rsidRDefault="00FA2BDA">
      <w:pPr>
        <w:spacing w:after="0"/>
      </w:pPr>
    </w:p>
    <w:p w14:paraId="4481CB78" w14:textId="77777777" w:rsidR="00FA2BDA" w:rsidRDefault="0061149C">
      <w:pPr>
        <w:spacing w:line="240" w:lineRule="auto"/>
        <w:jc w:val="both"/>
      </w:pPr>
      <w:r>
        <w:t xml:space="preserve">Reprezentacija je ostvarena u iznosu od 1.005,06 EUR i bilježi rast indeksa na 152,2 jer smo imali više ugošćavanja u školi u odnosu na isto </w:t>
      </w:r>
      <w:r>
        <w:t>razdoblje 2024. godine.</w:t>
      </w:r>
    </w:p>
    <w:p w14:paraId="42678E24" w14:textId="77777777" w:rsidR="00FA2BDA" w:rsidRDefault="00FA2BDA"/>
    <w:p w14:paraId="19C4C2DD" w14:textId="77777777" w:rsidR="00FA2BDA" w:rsidRDefault="0061149C">
      <w:pPr>
        <w:keepNext/>
        <w:spacing w:line="240" w:lineRule="auto"/>
        <w:jc w:val="center"/>
      </w:pPr>
      <w:r>
        <w:rPr>
          <w:sz w:val="28"/>
        </w:rPr>
        <w:t>Bilješka 33.</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23885F3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C744C36"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49C88BD"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4367B54"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925EFA0"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F66AA1C"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098DDF9" w14:textId="77777777" w:rsidR="00FA2BDA" w:rsidRDefault="0061149C">
            <w:pPr>
              <w:keepNext/>
              <w:keepLines/>
              <w:spacing w:after="0" w:line="240" w:lineRule="auto"/>
              <w:jc w:val="center"/>
            </w:pPr>
            <w:r>
              <w:rPr>
                <w:b/>
                <w:sz w:val="18"/>
              </w:rPr>
              <w:t>Indeks (%)</w:t>
            </w:r>
          </w:p>
        </w:tc>
      </w:tr>
      <w:tr w:rsidR="00FA2BDA" w14:paraId="1D4D0F40" w14:textId="77777777">
        <w:tblPrEx>
          <w:tblCellMar>
            <w:top w:w="0" w:type="dxa"/>
            <w:bottom w:w="0" w:type="dxa"/>
          </w:tblCellMar>
        </w:tblPrEx>
        <w:trPr>
          <w:cantSplit/>
          <w:trHeight w:val="560"/>
        </w:trPr>
        <w:tc>
          <w:tcPr>
            <w:tcW w:w="700" w:type="dxa"/>
            <w:tcMar>
              <w:top w:w="0" w:type="dxa"/>
              <w:bottom w:w="0" w:type="dxa"/>
            </w:tcMar>
            <w:vAlign w:val="center"/>
          </w:tcPr>
          <w:p w14:paraId="41B99EF1" w14:textId="77777777" w:rsidR="00FA2BDA" w:rsidRDefault="0061149C">
            <w:pPr>
              <w:keepNext/>
              <w:keepLines/>
              <w:spacing w:after="0" w:line="240" w:lineRule="auto"/>
            </w:pPr>
            <w:r>
              <w:rPr>
                <w:sz w:val="18"/>
              </w:rPr>
              <w:t>3294</w:t>
            </w:r>
          </w:p>
        </w:tc>
        <w:tc>
          <w:tcPr>
            <w:tcW w:w="3180" w:type="dxa"/>
            <w:tcMar>
              <w:top w:w="0" w:type="dxa"/>
              <w:bottom w:w="0" w:type="dxa"/>
            </w:tcMar>
            <w:vAlign w:val="center"/>
          </w:tcPr>
          <w:p w14:paraId="091354DA" w14:textId="77777777" w:rsidR="00FA2BDA" w:rsidRDefault="0061149C">
            <w:pPr>
              <w:keepNext/>
              <w:keepLines/>
              <w:spacing w:after="0" w:line="240" w:lineRule="auto"/>
            </w:pPr>
            <w:r>
              <w:rPr>
                <w:sz w:val="18"/>
              </w:rPr>
              <w:t>Članarine i norme</w:t>
            </w:r>
          </w:p>
        </w:tc>
        <w:tc>
          <w:tcPr>
            <w:tcW w:w="700" w:type="dxa"/>
            <w:tcMar>
              <w:top w:w="0" w:type="dxa"/>
              <w:bottom w:w="0" w:type="dxa"/>
            </w:tcMar>
            <w:vAlign w:val="center"/>
          </w:tcPr>
          <w:p w14:paraId="45AAE5BE" w14:textId="77777777" w:rsidR="00FA2BDA" w:rsidRDefault="0061149C">
            <w:pPr>
              <w:keepNext/>
              <w:keepLines/>
              <w:spacing w:after="0" w:line="240" w:lineRule="auto"/>
            </w:pPr>
            <w:r>
              <w:rPr>
                <w:sz w:val="18"/>
              </w:rPr>
              <w:t>3294</w:t>
            </w:r>
          </w:p>
        </w:tc>
        <w:tc>
          <w:tcPr>
            <w:tcW w:w="1860" w:type="dxa"/>
            <w:tcMar>
              <w:top w:w="0" w:type="dxa"/>
              <w:bottom w:w="0" w:type="dxa"/>
            </w:tcMar>
            <w:vAlign w:val="center"/>
          </w:tcPr>
          <w:p w14:paraId="483C8CDB" w14:textId="77777777" w:rsidR="00FA2BDA" w:rsidRDefault="0061149C">
            <w:pPr>
              <w:keepNext/>
              <w:keepLines/>
              <w:spacing w:after="0" w:line="240" w:lineRule="auto"/>
              <w:jc w:val="right"/>
            </w:pPr>
            <w:r>
              <w:rPr>
                <w:sz w:val="18"/>
              </w:rPr>
              <w:t>133,09</w:t>
            </w:r>
          </w:p>
        </w:tc>
        <w:tc>
          <w:tcPr>
            <w:tcW w:w="1860" w:type="dxa"/>
            <w:tcMar>
              <w:top w:w="0" w:type="dxa"/>
              <w:bottom w:w="0" w:type="dxa"/>
            </w:tcMar>
            <w:vAlign w:val="center"/>
          </w:tcPr>
          <w:p w14:paraId="55F47770" w14:textId="77777777" w:rsidR="00FA2BDA" w:rsidRDefault="0061149C">
            <w:pPr>
              <w:keepNext/>
              <w:keepLines/>
              <w:spacing w:after="0" w:line="240" w:lineRule="auto"/>
              <w:jc w:val="right"/>
            </w:pPr>
            <w:r>
              <w:rPr>
                <w:sz w:val="18"/>
              </w:rPr>
              <w:t>150,00</w:t>
            </w:r>
          </w:p>
        </w:tc>
        <w:tc>
          <w:tcPr>
            <w:tcW w:w="700" w:type="dxa"/>
            <w:tcMar>
              <w:top w:w="0" w:type="dxa"/>
              <w:bottom w:w="0" w:type="dxa"/>
            </w:tcMar>
            <w:vAlign w:val="center"/>
          </w:tcPr>
          <w:p w14:paraId="1E96E146" w14:textId="77777777" w:rsidR="00FA2BDA" w:rsidRDefault="0061149C">
            <w:pPr>
              <w:keepNext/>
              <w:keepLines/>
              <w:spacing w:after="0" w:line="240" w:lineRule="auto"/>
              <w:jc w:val="right"/>
            </w:pPr>
            <w:r>
              <w:rPr>
                <w:sz w:val="18"/>
              </w:rPr>
              <w:t>112,7</w:t>
            </w:r>
          </w:p>
        </w:tc>
      </w:tr>
    </w:tbl>
    <w:p w14:paraId="304ED568" w14:textId="77777777" w:rsidR="00FA2BDA" w:rsidRDefault="00FA2BDA">
      <w:pPr>
        <w:spacing w:after="0"/>
      </w:pPr>
    </w:p>
    <w:p w14:paraId="5B5DB160" w14:textId="77777777" w:rsidR="00FA2BDA" w:rsidRDefault="0061149C">
      <w:pPr>
        <w:spacing w:line="240" w:lineRule="auto"/>
        <w:jc w:val="both"/>
      </w:pPr>
      <w:r>
        <w:t>Članarine i norme su ostvarene u iznosu od 150,00 EUR te bilježe rast indeksa na 112,7 zbog povećanja članarine  za HUROŠ.</w:t>
      </w:r>
    </w:p>
    <w:p w14:paraId="346A8B5D" w14:textId="77777777" w:rsidR="00FA2BDA" w:rsidRDefault="00FA2BDA"/>
    <w:p w14:paraId="7671404E" w14:textId="77777777" w:rsidR="00FA2BDA" w:rsidRDefault="0061149C">
      <w:pPr>
        <w:keepNext/>
        <w:spacing w:line="240" w:lineRule="auto"/>
        <w:jc w:val="center"/>
      </w:pPr>
      <w:r>
        <w:rPr>
          <w:sz w:val="28"/>
        </w:rPr>
        <w:t>Bilješka 34.</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3D2BF28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1BCE226"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63CC8B5"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4ECC02B"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994E133"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F90487B" w14:textId="77777777" w:rsidR="00FA2BDA" w:rsidRDefault="0061149C">
            <w:pPr>
              <w:keepNext/>
              <w:keepLines/>
              <w:spacing w:after="0" w:line="240" w:lineRule="auto"/>
              <w:jc w:val="center"/>
            </w:pPr>
            <w:r>
              <w:rPr>
                <w:b/>
                <w:sz w:val="18"/>
              </w:rPr>
              <w:t xml:space="preserve">Ostvareno u </w:t>
            </w:r>
            <w:r>
              <w:rPr>
                <w:b/>
                <w:sz w:val="18"/>
              </w:rPr>
              <w:t>izvještajnom razdoblju tekuće godine</w:t>
            </w:r>
          </w:p>
        </w:tc>
        <w:tc>
          <w:tcPr>
            <w:tcW w:w="700" w:type="dxa"/>
            <w:shd w:val="clear" w:color="auto" w:fill="E7F0F9"/>
            <w:tcMar>
              <w:top w:w="0" w:type="dxa"/>
              <w:bottom w:w="0" w:type="dxa"/>
            </w:tcMar>
            <w:vAlign w:val="center"/>
          </w:tcPr>
          <w:p w14:paraId="1D396031" w14:textId="77777777" w:rsidR="00FA2BDA" w:rsidRDefault="0061149C">
            <w:pPr>
              <w:keepNext/>
              <w:keepLines/>
              <w:spacing w:after="0" w:line="240" w:lineRule="auto"/>
              <w:jc w:val="center"/>
            </w:pPr>
            <w:r>
              <w:rPr>
                <w:b/>
                <w:sz w:val="18"/>
              </w:rPr>
              <w:t>Indeks (%)</w:t>
            </w:r>
          </w:p>
        </w:tc>
      </w:tr>
      <w:tr w:rsidR="00FA2BDA" w14:paraId="62E238F9" w14:textId="77777777">
        <w:tblPrEx>
          <w:tblCellMar>
            <w:top w:w="0" w:type="dxa"/>
            <w:bottom w:w="0" w:type="dxa"/>
          </w:tblCellMar>
        </w:tblPrEx>
        <w:trPr>
          <w:cantSplit/>
          <w:trHeight w:val="560"/>
        </w:trPr>
        <w:tc>
          <w:tcPr>
            <w:tcW w:w="700" w:type="dxa"/>
            <w:tcMar>
              <w:top w:w="0" w:type="dxa"/>
              <w:bottom w:w="0" w:type="dxa"/>
            </w:tcMar>
            <w:vAlign w:val="center"/>
          </w:tcPr>
          <w:p w14:paraId="5A04A7EB" w14:textId="77777777" w:rsidR="00FA2BDA" w:rsidRDefault="0061149C">
            <w:pPr>
              <w:keepNext/>
              <w:keepLines/>
              <w:spacing w:after="0" w:line="240" w:lineRule="auto"/>
            </w:pPr>
            <w:r>
              <w:rPr>
                <w:sz w:val="18"/>
              </w:rPr>
              <w:t>3295</w:t>
            </w:r>
          </w:p>
        </w:tc>
        <w:tc>
          <w:tcPr>
            <w:tcW w:w="3180" w:type="dxa"/>
            <w:tcMar>
              <w:top w:w="0" w:type="dxa"/>
              <w:bottom w:w="0" w:type="dxa"/>
            </w:tcMar>
            <w:vAlign w:val="center"/>
          </w:tcPr>
          <w:p w14:paraId="7FAAD203" w14:textId="77777777" w:rsidR="00FA2BDA" w:rsidRDefault="0061149C">
            <w:pPr>
              <w:keepNext/>
              <w:keepLines/>
              <w:spacing w:after="0" w:line="240" w:lineRule="auto"/>
            </w:pPr>
            <w:r>
              <w:rPr>
                <w:sz w:val="18"/>
              </w:rPr>
              <w:t>Pristojbe i naknade</w:t>
            </w:r>
          </w:p>
        </w:tc>
        <w:tc>
          <w:tcPr>
            <w:tcW w:w="700" w:type="dxa"/>
            <w:tcMar>
              <w:top w:w="0" w:type="dxa"/>
              <w:bottom w:w="0" w:type="dxa"/>
            </w:tcMar>
            <w:vAlign w:val="center"/>
          </w:tcPr>
          <w:p w14:paraId="5747AFA7" w14:textId="77777777" w:rsidR="00FA2BDA" w:rsidRDefault="0061149C">
            <w:pPr>
              <w:keepNext/>
              <w:keepLines/>
              <w:spacing w:after="0" w:line="240" w:lineRule="auto"/>
            </w:pPr>
            <w:r>
              <w:rPr>
                <w:sz w:val="18"/>
              </w:rPr>
              <w:t>3295</w:t>
            </w:r>
          </w:p>
        </w:tc>
        <w:tc>
          <w:tcPr>
            <w:tcW w:w="1860" w:type="dxa"/>
            <w:tcMar>
              <w:top w:w="0" w:type="dxa"/>
              <w:bottom w:w="0" w:type="dxa"/>
            </w:tcMar>
            <w:vAlign w:val="center"/>
          </w:tcPr>
          <w:p w14:paraId="742A8F87" w14:textId="77777777" w:rsidR="00FA2BDA" w:rsidRDefault="0061149C">
            <w:pPr>
              <w:keepNext/>
              <w:keepLines/>
              <w:spacing w:after="0" w:line="240" w:lineRule="auto"/>
              <w:jc w:val="right"/>
            </w:pPr>
            <w:r>
              <w:rPr>
                <w:sz w:val="18"/>
              </w:rPr>
              <w:t>888,48</w:t>
            </w:r>
          </w:p>
        </w:tc>
        <w:tc>
          <w:tcPr>
            <w:tcW w:w="1860" w:type="dxa"/>
            <w:tcMar>
              <w:top w:w="0" w:type="dxa"/>
              <w:bottom w:w="0" w:type="dxa"/>
            </w:tcMar>
            <w:vAlign w:val="center"/>
          </w:tcPr>
          <w:p w14:paraId="1FD12388" w14:textId="77777777" w:rsidR="00FA2BDA" w:rsidRDefault="0061149C">
            <w:pPr>
              <w:keepNext/>
              <w:keepLines/>
              <w:spacing w:after="0" w:line="240" w:lineRule="auto"/>
              <w:jc w:val="right"/>
            </w:pPr>
            <w:r>
              <w:rPr>
                <w:sz w:val="18"/>
              </w:rPr>
              <w:t>753,98</w:t>
            </w:r>
          </w:p>
        </w:tc>
        <w:tc>
          <w:tcPr>
            <w:tcW w:w="700" w:type="dxa"/>
            <w:tcMar>
              <w:top w:w="0" w:type="dxa"/>
              <w:bottom w:w="0" w:type="dxa"/>
            </w:tcMar>
            <w:vAlign w:val="center"/>
          </w:tcPr>
          <w:p w14:paraId="354CEB0E" w14:textId="77777777" w:rsidR="00FA2BDA" w:rsidRDefault="0061149C">
            <w:pPr>
              <w:keepNext/>
              <w:keepLines/>
              <w:spacing w:after="0" w:line="240" w:lineRule="auto"/>
              <w:jc w:val="right"/>
            </w:pPr>
            <w:r>
              <w:rPr>
                <w:sz w:val="18"/>
              </w:rPr>
              <w:t>84,9</w:t>
            </w:r>
          </w:p>
        </w:tc>
      </w:tr>
    </w:tbl>
    <w:p w14:paraId="1BB08DD6" w14:textId="77777777" w:rsidR="00FA2BDA" w:rsidRDefault="00FA2BDA">
      <w:pPr>
        <w:spacing w:after="0"/>
      </w:pPr>
    </w:p>
    <w:p w14:paraId="5F3E1B5D" w14:textId="77777777" w:rsidR="00FA2BDA" w:rsidRDefault="0061149C">
      <w:pPr>
        <w:spacing w:line="240" w:lineRule="auto"/>
        <w:jc w:val="both"/>
      </w:pPr>
      <w:r>
        <w:t xml:space="preserve">Pristojbe i naknade su ostvarene u iznosu od 753,98 EUR i imaju pad indeksa na 84,9. Prošle godine u istom razdoblju smo uz HRT pristojbu imali </w:t>
      </w:r>
      <w:r>
        <w:t>troškove javnih bilježnika zbog pokretanja ovrha nad dužnicima za školsku kuhinju.</w:t>
      </w:r>
    </w:p>
    <w:p w14:paraId="6CACA9B5" w14:textId="77777777" w:rsidR="00FA2BDA" w:rsidRDefault="00FA2BDA"/>
    <w:p w14:paraId="36F76650" w14:textId="77777777" w:rsidR="00FA2BDA" w:rsidRDefault="0061149C">
      <w:pPr>
        <w:keepNext/>
        <w:spacing w:line="240" w:lineRule="auto"/>
        <w:jc w:val="center"/>
      </w:pPr>
      <w:r>
        <w:rPr>
          <w:sz w:val="28"/>
        </w:rPr>
        <w:t>Bilješka 35.</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7FE3EB6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C1CD1B8"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8A664B3"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271ED3B"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7A6F835"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B8CC1D2"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1F49ACF" w14:textId="77777777" w:rsidR="00FA2BDA" w:rsidRDefault="0061149C">
            <w:pPr>
              <w:keepNext/>
              <w:keepLines/>
              <w:spacing w:after="0" w:line="240" w:lineRule="auto"/>
              <w:jc w:val="center"/>
            </w:pPr>
            <w:r>
              <w:rPr>
                <w:b/>
                <w:sz w:val="18"/>
              </w:rPr>
              <w:t>Indeks (%)</w:t>
            </w:r>
          </w:p>
        </w:tc>
      </w:tr>
      <w:tr w:rsidR="00FA2BDA" w14:paraId="0A7CB3FA" w14:textId="77777777">
        <w:tblPrEx>
          <w:tblCellMar>
            <w:top w:w="0" w:type="dxa"/>
            <w:bottom w:w="0" w:type="dxa"/>
          </w:tblCellMar>
        </w:tblPrEx>
        <w:trPr>
          <w:cantSplit/>
          <w:trHeight w:val="560"/>
        </w:trPr>
        <w:tc>
          <w:tcPr>
            <w:tcW w:w="700" w:type="dxa"/>
            <w:tcMar>
              <w:top w:w="0" w:type="dxa"/>
              <w:bottom w:w="0" w:type="dxa"/>
            </w:tcMar>
            <w:vAlign w:val="center"/>
          </w:tcPr>
          <w:p w14:paraId="65CB10C8" w14:textId="77777777" w:rsidR="00FA2BDA" w:rsidRDefault="0061149C">
            <w:pPr>
              <w:keepNext/>
              <w:keepLines/>
              <w:spacing w:after="0" w:line="240" w:lineRule="auto"/>
            </w:pPr>
            <w:r>
              <w:rPr>
                <w:sz w:val="18"/>
              </w:rPr>
              <w:t>3296</w:t>
            </w:r>
          </w:p>
        </w:tc>
        <w:tc>
          <w:tcPr>
            <w:tcW w:w="3180" w:type="dxa"/>
            <w:tcMar>
              <w:top w:w="0" w:type="dxa"/>
              <w:bottom w:w="0" w:type="dxa"/>
            </w:tcMar>
            <w:vAlign w:val="center"/>
          </w:tcPr>
          <w:p w14:paraId="3A4FA964" w14:textId="77777777" w:rsidR="00FA2BDA" w:rsidRDefault="0061149C">
            <w:pPr>
              <w:keepNext/>
              <w:keepLines/>
              <w:spacing w:after="0" w:line="240" w:lineRule="auto"/>
            </w:pPr>
            <w:r>
              <w:rPr>
                <w:sz w:val="18"/>
              </w:rPr>
              <w:t>Troškovi sudskih postupaka</w:t>
            </w:r>
          </w:p>
        </w:tc>
        <w:tc>
          <w:tcPr>
            <w:tcW w:w="700" w:type="dxa"/>
            <w:tcMar>
              <w:top w:w="0" w:type="dxa"/>
              <w:bottom w:w="0" w:type="dxa"/>
            </w:tcMar>
            <w:vAlign w:val="center"/>
          </w:tcPr>
          <w:p w14:paraId="1D2227EA" w14:textId="77777777" w:rsidR="00FA2BDA" w:rsidRDefault="0061149C">
            <w:pPr>
              <w:keepNext/>
              <w:keepLines/>
              <w:spacing w:after="0" w:line="240" w:lineRule="auto"/>
            </w:pPr>
            <w:r>
              <w:rPr>
                <w:sz w:val="18"/>
              </w:rPr>
              <w:t>3296</w:t>
            </w:r>
          </w:p>
        </w:tc>
        <w:tc>
          <w:tcPr>
            <w:tcW w:w="1860" w:type="dxa"/>
            <w:tcMar>
              <w:top w:w="0" w:type="dxa"/>
              <w:bottom w:w="0" w:type="dxa"/>
            </w:tcMar>
            <w:vAlign w:val="center"/>
          </w:tcPr>
          <w:p w14:paraId="4261F388" w14:textId="77777777" w:rsidR="00FA2BDA" w:rsidRDefault="0061149C">
            <w:pPr>
              <w:keepNext/>
              <w:keepLines/>
              <w:spacing w:after="0" w:line="240" w:lineRule="auto"/>
              <w:jc w:val="right"/>
            </w:pPr>
            <w:r>
              <w:rPr>
                <w:sz w:val="18"/>
              </w:rPr>
              <w:t>453,13</w:t>
            </w:r>
          </w:p>
        </w:tc>
        <w:tc>
          <w:tcPr>
            <w:tcW w:w="1860" w:type="dxa"/>
            <w:tcMar>
              <w:top w:w="0" w:type="dxa"/>
              <w:bottom w:w="0" w:type="dxa"/>
            </w:tcMar>
            <w:vAlign w:val="center"/>
          </w:tcPr>
          <w:p w14:paraId="42C872BC" w14:textId="77777777" w:rsidR="00FA2BDA" w:rsidRDefault="0061149C">
            <w:pPr>
              <w:keepNext/>
              <w:keepLines/>
              <w:spacing w:after="0" w:line="240" w:lineRule="auto"/>
              <w:jc w:val="right"/>
            </w:pPr>
            <w:r>
              <w:rPr>
                <w:sz w:val="18"/>
              </w:rPr>
              <w:t>0,00</w:t>
            </w:r>
          </w:p>
        </w:tc>
        <w:tc>
          <w:tcPr>
            <w:tcW w:w="700" w:type="dxa"/>
            <w:tcMar>
              <w:top w:w="0" w:type="dxa"/>
              <w:bottom w:w="0" w:type="dxa"/>
            </w:tcMar>
            <w:vAlign w:val="center"/>
          </w:tcPr>
          <w:p w14:paraId="1EE67755" w14:textId="77777777" w:rsidR="00FA2BDA" w:rsidRDefault="0061149C">
            <w:pPr>
              <w:keepNext/>
              <w:keepLines/>
              <w:spacing w:after="0" w:line="240" w:lineRule="auto"/>
              <w:jc w:val="right"/>
            </w:pPr>
            <w:r>
              <w:rPr>
                <w:sz w:val="18"/>
              </w:rPr>
              <w:t>0</w:t>
            </w:r>
          </w:p>
        </w:tc>
      </w:tr>
    </w:tbl>
    <w:p w14:paraId="6D1124DB" w14:textId="77777777" w:rsidR="00FA2BDA" w:rsidRDefault="00FA2BDA">
      <w:pPr>
        <w:spacing w:after="0"/>
      </w:pPr>
    </w:p>
    <w:p w14:paraId="45BFD7C0" w14:textId="77777777" w:rsidR="00FA2BDA" w:rsidRDefault="0061149C">
      <w:pPr>
        <w:spacing w:line="240" w:lineRule="auto"/>
        <w:jc w:val="both"/>
      </w:pPr>
      <w:r>
        <w:t>Troškovi sudskih postupaka bilježe stanje 0,00 EUR u odnosu na 2024. godinu kad je stanje iznosilo 453,13 EUR jer smo prošle godine isplaćivali sudsku tužbu zaposlenici škole.</w:t>
      </w:r>
    </w:p>
    <w:p w14:paraId="6BC4B3B1" w14:textId="77777777" w:rsidR="00FA2BDA" w:rsidRDefault="00FA2BDA"/>
    <w:p w14:paraId="742E906C" w14:textId="77777777" w:rsidR="00FA2BDA" w:rsidRDefault="0061149C">
      <w:pPr>
        <w:keepNext/>
        <w:spacing w:line="240" w:lineRule="auto"/>
        <w:jc w:val="center"/>
      </w:pPr>
      <w:r>
        <w:rPr>
          <w:sz w:val="28"/>
        </w:rPr>
        <w:t>Bilješka 36.</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56DFB33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9677AA4"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xml:space="preserve">. </w:t>
            </w:r>
            <w:r>
              <w:rPr>
                <w:b/>
                <w:sz w:val="18"/>
              </w:rPr>
              <w:t>plana</w:t>
            </w:r>
          </w:p>
        </w:tc>
        <w:tc>
          <w:tcPr>
            <w:tcW w:w="3180" w:type="dxa"/>
            <w:shd w:val="clear" w:color="auto" w:fill="E7F0F9"/>
            <w:tcMar>
              <w:top w:w="0" w:type="dxa"/>
              <w:bottom w:w="0" w:type="dxa"/>
            </w:tcMar>
            <w:vAlign w:val="center"/>
          </w:tcPr>
          <w:p w14:paraId="51D8C5B6"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425B2AF"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54495B4"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32FE1B9"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EF34D0C" w14:textId="77777777" w:rsidR="00FA2BDA" w:rsidRDefault="0061149C">
            <w:pPr>
              <w:keepNext/>
              <w:keepLines/>
              <w:spacing w:after="0" w:line="240" w:lineRule="auto"/>
              <w:jc w:val="center"/>
            </w:pPr>
            <w:r>
              <w:rPr>
                <w:b/>
                <w:sz w:val="18"/>
              </w:rPr>
              <w:t>Indeks (%)</w:t>
            </w:r>
          </w:p>
        </w:tc>
      </w:tr>
      <w:tr w:rsidR="00FA2BDA" w14:paraId="03B82493" w14:textId="77777777">
        <w:tblPrEx>
          <w:tblCellMar>
            <w:top w:w="0" w:type="dxa"/>
            <w:bottom w:w="0" w:type="dxa"/>
          </w:tblCellMar>
        </w:tblPrEx>
        <w:trPr>
          <w:cantSplit/>
          <w:trHeight w:val="560"/>
        </w:trPr>
        <w:tc>
          <w:tcPr>
            <w:tcW w:w="700" w:type="dxa"/>
            <w:tcMar>
              <w:top w:w="0" w:type="dxa"/>
              <w:bottom w:w="0" w:type="dxa"/>
            </w:tcMar>
            <w:vAlign w:val="center"/>
          </w:tcPr>
          <w:p w14:paraId="5EEAB6D1" w14:textId="77777777" w:rsidR="00FA2BDA" w:rsidRDefault="0061149C">
            <w:pPr>
              <w:keepNext/>
              <w:keepLines/>
              <w:spacing w:after="0" w:line="240" w:lineRule="auto"/>
            </w:pPr>
            <w:r>
              <w:rPr>
                <w:sz w:val="18"/>
              </w:rPr>
              <w:t>3299</w:t>
            </w:r>
          </w:p>
        </w:tc>
        <w:tc>
          <w:tcPr>
            <w:tcW w:w="3180" w:type="dxa"/>
            <w:tcMar>
              <w:top w:w="0" w:type="dxa"/>
              <w:bottom w:w="0" w:type="dxa"/>
            </w:tcMar>
            <w:vAlign w:val="center"/>
          </w:tcPr>
          <w:p w14:paraId="6D746376" w14:textId="77777777" w:rsidR="00FA2BDA" w:rsidRDefault="0061149C">
            <w:pPr>
              <w:keepNext/>
              <w:keepLines/>
              <w:spacing w:after="0" w:line="240" w:lineRule="auto"/>
            </w:pPr>
            <w:r>
              <w:rPr>
                <w:sz w:val="18"/>
              </w:rPr>
              <w:t>Ostali nespomenuti rashodi poslovanja</w:t>
            </w:r>
          </w:p>
        </w:tc>
        <w:tc>
          <w:tcPr>
            <w:tcW w:w="700" w:type="dxa"/>
            <w:tcMar>
              <w:top w:w="0" w:type="dxa"/>
              <w:bottom w:w="0" w:type="dxa"/>
            </w:tcMar>
            <w:vAlign w:val="center"/>
          </w:tcPr>
          <w:p w14:paraId="2518A985" w14:textId="77777777" w:rsidR="00FA2BDA" w:rsidRDefault="0061149C">
            <w:pPr>
              <w:keepNext/>
              <w:keepLines/>
              <w:spacing w:after="0" w:line="240" w:lineRule="auto"/>
            </w:pPr>
            <w:r>
              <w:rPr>
                <w:sz w:val="18"/>
              </w:rPr>
              <w:t>3299</w:t>
            </w:r>
          </w:p>
        </w:tc>
        <w:tc>
          <w:tcPr>
            <w:tcW w:w="1860" w:type="dxa"/>
            <w:tcMar>
              <w:top w:w="0" w:type="dxa"/>
              <w:bottom w:w="0" w:type="dxa"/>
            </w:tcMar>
            <w:vAlign w:val="center"/>
          </w:tcPr>
          <w:p w14:paraId="3E2C0C56" w14:textId="77777777" w:rsidR="00FA2BDA" w:rsidRDefault="0061149C">
            <w:pPr>
              <w:keepNext/>
              <w:keepLines/>
              <w:spacing w:after="0" w:line="240" w:lineRule="auto"/>
              <w:jc w:val="right"/>
            </w:pPr>
            <w:r>
              <w:rPr>
                <w:sz w:val="18"/>
              </w:rPr>
              <w:t>2.473,36</w:t>
            </w:r>
          </w:p>
        </w:tc>
        <w:tc>
          <w:tcPr>
            <w:tcW w:w="1860" w:type="dxa"/>
            <w:tcMar>
              <w:top w:w="0" w:type="dxa"/>
              <w:bottom w:w="0" w:type="dxa"/>
            </w:tcMar>
            <w:vAlign w:val="center"/>
          </w:tcPr>
          <w:p w14:paraId="3AE221D9" w14:textId="77777777" w:rsidR="00FA2BDA" w:rsidRDefault="0061149C">
            <w:pPr>
              <w:keepNext/>
              <w:keepLines/>
              <w:spacing w:after="0" w:line="240" w:lineRule="auto"/>
              <w:jc w:val="right"/>
            </w:pPr>
            <w:r>
              <w:rPr>
                <w:sz w:val="18"/>
              </w:rPr>
              <w:t>1.509,09</w:t>
            </w:r>
          </w:p>
        </w:tc>
        <w:tc>
          <w:tcPr>
            <w:tcW w:w="700" w:type="dxa"/>
            <w:tcMar>
              <w:top w:w="0" w:type="dxa"/>
              <w:bottom w:w="0" w:type="dxa"/>
            </w:tcMar>
            <w:vAlign w:val="center"/>
          </w:tcPr>
          <w:p w14:paraId="10395D2C" w14:textId="77777777" w:rsidR="00FA2BDA" w:rsidRDefault="0061149C">
            <w:pPr>
              <w:keepNext/>
              <w:keepLines/>
              <w:spacing w:after="0" w:line="240" w:lineRule="auto"/>
              <w:jc w:val="right"/>
            </w:pPr>
            <w:r>
              <w:rPr>
                <w:sz w:val="18"/>
              </w:rPr>
              <w:t>61,0</w:t>
            </w:r>
          </w:p>
        </w:tc>
      </w:tr>
    </w:tbl>
    <w:p w14:paraId="4A5FC8BC" w14:textId="77777777" w:rsidR="00FA2BDA" w:rsidRDefault="00FA2BDA">
      <w:pPr>
        <w:spacing w:after="0"/>
      </w:pPr>
    </w:p>
    <w:p w14:paraId="57A4AA04" w14:textId="77777777" w:rsidR="00FA2BDA" w:rsidRDefault="0061149C">
      <w:pPr>
        <w:spacing w:line="240" w:lineRule="auto"/>
        <w:jc w:val="both"/>
      </w:pPr>
      <w:r>
        <w:t xml:space="preserve">Ostali nespomenuti rashodi </w:t>
      </w:r>
      <w:r>
        <w:t xml:space="preserve">poslovanja ostvareni su u iznosu od 1.509,09 EUR te bilježe manji indeks od 61,0 jer smo u 2024. godini na taj konto knjižili troškove prehrane i prijevoza na međuopćinsko natjecanje u </w:t>
      </w:r>
      <w:proofErr w:type="spellStart"/>
      <w:r>
        <w:t>futsalu</w:t>
      </w:r>
      <w:proofErr w:type="spellEnd"/>
      <w:r>
        <w:t xml:space="preserve"> dok smo ove godine taj trošak raščlanili na konta  namirnica i </w:t>
      </w:r>
      <w:r>
        <w:t>prijevoza.</w:t>
      </w:r>
    </w:p>
    <w:p w14:paraId="631B2D7F" w14:textId="77777777" w:rsidR="00FA2BDA" w:rsidRDefault="00FA2BDA"/>
    <w:p w14:paraId="24AD5D5F" w14:textId="77777777" w:rsidR="00FA2BDA" w:rsidRDefault="0061149C">
      <w:pPr>
        <w:keepNext/>
        <w:spacing w:line="240" w:lineRule="auto"/>
        <w:jc w:val="center"/>
      </w:pPr>
      <w:r>
        <w:rPr>
          <w:sz w:val="28"/>
        </w:rPr>
        <w:t>Bilješka 37.</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6D77157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9E3BF22"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12848FB"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1847F8E"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31E312A"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8511C81"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ABF71A2" w14:textId="77777777" w:rsidR="00FA2BDA" w:rsidRDefault="0061149C">
            <w:pPr>
              <w:keepNext/>
              <w:keepLines/>
              <w:spacing w:after="0" w:line="240" w:lineRule="auto"/>
              <w:jc w:val="center"/>
            </w:pPr>
            <w:r>
              <w:rPr>
                <w:b/>
                <w:sz w:val="18"/>
              </w:rPr>
              <w:t>Indeks (%)</w:t>
            </w:r>
          </w:p>
        </w:tc>
      </w:tr>
      <w:tr w:rsidR="00FA2BDA" w14:paraId="60EFA0AB" w14:textId="77777777">
        <w:tblPrEx>
          <w:tblCellMar>
            <w:top w:w="0" w:type="dxa"/>
            <w:bottom w:w="0" w:type="dxa"/>
          </w:tblCellMar>
        </w:tblPrEx>
        <w:trPr>
          <w:cantSplit/>
          <w:trHeight w:val="560"/>
        </w:trPr>
        <w:tc>
          <w:tcPr>
            <w:tcW w:w="700" w:type="dxa"/>
            <w:tcMar>
              <w:top w:w="0" w:type="dxa"/>
              <w:bottom w:w="0" w:type="dxa"/>
            </w:tcMar>
            <w:vAlign w:val="center"/>
          </w:tcPr>
          <w:p w14:paraId="0C803AC0" w14:textId="77777777" w:rsidR="00FA2BDA" w:rsidRDefault="0061149C">
            <w:pPr>
              <w:keepNext/>
              <w:keepLines/>
              <w:spacing w:after="0" w:line="240" w:lineRule="auto"/>
            </w:pPr>
            <w:r>
              <w:rPr>
                <w:sz w:val="18"/>
              </w:rPr>
              <w:t>3431</w:t>
            </w:r>
          </w:p>
        </w:tc>
        <w:tc>
          <w:tcPr>
            <w:tcW w:w="3180" w:type="dxa"/>
            <w:tcMar>
              <w:top w:w="0" w:type="dxa"/>
              <w:bottom w:w="0" w:type="dxa"/>
            </w:tcMar>
            <w:vAlign w:val="center"/>
          </w:tcPr>
          <w:p w14:paraId="2E5A7F3D" w14:textId="77777777" w:rsidR="00FA2BDA" w:rsidRDefault="0061149C">
            <w:pPr>
              <w:keepNext/>
              <w:keepLines/>
              <w:spacing w:after="0" w:line="240" w:lineRule="auto"/>
            </w:pPr>
            <w:r>
              <w:rPr>
                <w:sz w:val="18"/>
              </w:rPr>
              <w:t>Bankarske usluge i usluge platnog prometa</w:t>
            </w:r>
          </w:p>
        </w:tc>
        <w:tc>
          <w:tcPr>
            <w:tcW w:w="700" w:type="dxa"/>
            <w:tcMar>
              <w:top w:w="0" w:type="dxa"/>
              <w:bottom w:w="0" w:type="dxa"/>
            </w:tcMar>
            <w:vAlign w:val="center"/>
          </w:tcPr>
          <w:p w14:paraId="60D0166F" w14:textId="77777777" w:rsidR="00FA2BDA" w:rsidRDefault="0061149C">
            <w:pPr>
              <w:keepNext/>
              <w:keepLines/>
              <w:spacing w:after="0" w:line="240" w:lineRule="auto"/>
            </w:pPr>
            <w:r>
              <w:rPr>
                <w:sz w:val="18"/>
              </w:rPr>
              <w:t>3431</w:t>
            </w:r>
          </w:p>
        </w:tc>
        <w:tc>
          <w:tcPr>
            <w:tcW w:w="1860" w:type="dxa"/>
            <w:tcMar>
              <w:top w:w="0" w:type="dxa"/>
              <w:bottom w:w="0" w:type="dxa"/>
            </w:tcMar>
            <w:vAlign w:val="center"/>
          </w:tcPr>
          <w:p w14:paraId="29F980E9" w14:textId="77777777" w:rsidR="00FA2BDA" w:rsidRDefault="0061149C">
            <w:pPr>
              <w:keepNext/>
              <w:keepLines/>
              <w:spacing w:after="0" w:line="240" w:lineRule="auto"/>
              <w:jc w:val="right"/>
            </w:pPr>
            <w:r>
              <w:rPr>
                <w:sz w:val="18"/>
              </w:rPr>
              <w:t>0,00</w:t>
            </w:r>
          </w:p>
        </w:tc>
        <w:tc>
          <w:tcPr>
            <w:tcW w:w="1860" w:type="dxa"/>
            <w:tcMar>
              <w:top w:w="0" w:type="dxa"/>
              <w:bottom w:w="0" w:type="dxa"/>
            </w:tcMar>
            <w:vAlign w:val="center"/>
          </w:tcPr>
          <w:p w14:paraId="63D3234A" w14:textId="77777777" w:rsidR="00FA2BDA" w:rsidRDefault="0061149C">
            <w:pPr>
              <w:keepNext/>
              <w:keepLines/>
              <w:spacing w:after="0" w:line="240" w:lineRule="auto"/>
              <w:jc w:val="right"/>
            </w:pPr>
            <w:r>
              <w:rPr>
                <w:sz w:val="18"/>
              </w:rPr>
              <w:t>0,13</w:t>
            </w:r>
          </w:p>
        </w:tc>
        <w:tc>
          <w:tcPr>
            <w:tcW w:w="700" w:type="dxa"/>
            <w:tcMar>
              <w:top w:w="0" w:type="dxa"/>
              <w:bottom w:w="0" w:type="dxa"/>
            </w:tcMar>
            <w:vAlign w:val="center"/>
          </w:tcPr>
          <w:p w14:paraId="35FDB403" w14:textId="77777777" w:rsidR="00FA2BDA" w:rsidRDefault="0061149C">
            <w:pPr>
              <w:keepNext/>
              <w:keepLines/>
              <w:spacing w:after="0" w:line="240" w:lineRule="auto"/>
              <w:jc w:val="right"/>
            </w:pPr>
            <w:r>
              <w:rPr>
                <w:sz w:val="18"/>
              </w:rPr>
              <w:t>-</w:t>
            </w:r>
          </w:p>
        </w:tc>
      </w:tr>
    </w:tbl>
    <w:p w14:paraId="63F3A832" w14:textId="77777777" w:rsidR="00FA2BDA" w:rsidRDefault="00FA2BDA">
      <w:pPr>
        <w:spacing w:after="0"/>
      </w:pPr>
    </w:p>
    <w:p w14:paraId="15886B78" w14:textId="77777777" w:rsidR="00FA2BDA" w:rsidRDefault="0061149C">
      <w:pPr>
        <w:spacing w:line="240" w:lineRule="auto"/>
        <w:jc w:val="both"/>
      </w:pPr>
      <w:r>
        <w:t xml:space="preserve">Bankarske usluge i usluge platnog prometa bilježe stanje od 0,13 EUR u odnosu na 2024. godinu  kad je stanje bilo 0,00 EUR jer smo 2025. godine imali trošak bankarske naknade za nabavu </w:t>
      </w:r>
      <w:proofErr w:type="spellStart"/>
      <w:r>
        <w:t>Wordwall</w:t>
      </w:r>
      <w:proofErr w:type="spellEnd"/>
      <w:r>
        <w:t xml:space="preserve"> licenci.</w:t>
      </w:r>
    </w:p>
    <w:p w14:paraId="2D8FA440" w14:textId="77777777" w:rsidR="00FA2BDA" w:rsidRDefault="00FA2BDA"/>
    <w:p w14:paraId="7A9CF3ED" w14:textId="77777777" w:rsidR="00FA2BDA" w:rsidRDefault="0061149C">
      <w:pPr>
        <w:keepNext/>
        <w:spacing w:line="240" w:lineRule="auto"/>
        <w:jc w:val="center"/>
      </w:pPr>
      <w:r>
        <w:rPr>
          <w:sz w:val="28"/>
        </w:rPr>
        <w:t>Bilješka 38.</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41E51C2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246D2A4"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20BCE0C"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9EC6E90"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E5A59BD" w14:textId="77777777" w:rsidR="00FA2BDA" w:rsidRDefault="0061149C">
            <w:pPr>
              <w:keepNext/>
              <w:keepLines/>
              <w:spacing w:after="0" w:line="240" w:lineRule="auto"/>
              <w:jc w:val="center"/>
            </w:pPr>
            <w:r>
              <w:rPr>
                <w:b/>
                <w:sz w:val="18"/>
              </w:rPr>
              <w:t>O</w:t>
            </w:r>
            <w:r>
              <w:rPr>
                <w:b/>
                <w:sz w:val="18"/>
              </w:rPr>
              <w:t>stvareno u izvještajnom razdoblju prethodne godine</w:t>
            </w:r>
          </w:p>
        </w:tc>
        <w:tc>
          <w:tcPr>
            <w:tcW w:w="1860" w:type="dxa"/>
            <w:shd w:val="clear" w:color="auto" w:fill="E7F0F9"/>
            <w:tcMar>
              <w:top w:w="0" w:type="dxa"/>
              <w:bottom w:w="0" w:type="dxa"/>
            </w:tcMar>
            <w:vAlign w:val="center"/>
          </w:tcPr>
          <w:p w14:paraId="2B316FD1"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29B7BB2" w14:textId="77777777" w:rsidR="00FA2BDA" w:rsidRDefault="0061149C">
            <w:pPr>
              <w:keepNext/>
              <w:keepLines/>
              <w:spacing w:after="0" w:line="240" w:lineRule="auto"/>
              <w:jc w:val="center"/>
            </w:pPr>
            <w:r>
              <w:rPr>
                <w:b/>
                <w:sz w:val="18"/>
              </w:rPr>
              <w:t>Indeks (%)</w:t>
            </w:r>
          </w:p>
        </w:tc>
      </w:tr>
      <w:tr w:rsidR="00FA2BDA" w14:paraId="3A5759BE" w14:textId="77777777">
        <w:tblPrEx>
          <w:tblCellMar>
            <w:top w:w="0" w:type="dxa"/>
            <w:bottom w:w="0" w:type="dxa"/>
          </w:tblCellMar>
        </w:tblPrEx>
        <w:trPr>
          <w:cantSplit/>
          <w:trHeight w:val="560"/>
        </w:trPr>
        <w:tc>
          <w:tcPr>
            <w:tcW w:w="700" w:type="dxa"/>
            <w:tcMar>
              <w:top w:w="0" w:type="dxa"/>
              <w:bottom w:w="0" w:type="dxa"/>
            </w:tcMar>
            <w:vAlign w:val="center"/>
          </w:tcPr>
          <w:p w14:paraId="0D76D340" w14:textId="77777777" w:rsidR="00FA2BDA" w:rsidRDefault="0061149C">
            <w:pPr>
              <w:keepNext/>
              <w:keepLines/>
              <w:spacing w:after="0" w:line="240" w:lineRule="auto"/>
            </w:pPr>
            <w:r>
              <w:rPr>
                <w:sz w:val="18"/>
              </w:rPr>
              <w:t>3433</w:t>
            </w:r>
          </w:p>
        </w:tc>
        <w:tc>
          <w:tcPr>
            <w:tcW w:w="3180" w:type="dxa"/>
            <w:tcMar>
              <w:top w:w="0" w:type="dxa"/>
              <w:bottom w:w="0" w:type="dxa"/>
            </w:tcMar>
            <w:vAlign w:val="center"/>
          </w:tcPr>
          <w:p w14:paraId="2292FD1E" w14:textId="77777777" w:rsidR="00FA2BDA" w:rsidRDefault="0061149C">
            <w:pPr>
              <w:keepNext/>
              <w:keepLines/>
              <w:spacing w:after="0" w:line="240" w:lineRule="auto"/>
            </w:pPr>
            <w:r>
              <w:rPr>
                <w:sz w:val="18"/>
              </w:rPr>
              <w:t>Zatezne kamate</w:t>
            </w:r>
          </w:p>
        </w:tc>
        <w:tc>
          <w:tcPr>
            <w:tcW w:w="700" w:type="dxa"/>
            <w:tcMar>
              <w:top w:w="0" w:type="dxa"/>
              <w:bottom w:w="0" w:type="dxa"/>
            </w:tcMar>
            <w:vAlign w:val="center"/>
          </w:tcPr>
          <w:p w14:paraId="7C052A95" w14:textId="77777777" w:rsidR="00FA2BDA" w:rsidRDefault="0061149C">
            <w:pPr>
              <w:keepNext/>
              <w:keepLines/>
              <w:spacing w:after="0" w:line="240" w:lineRule="auto"/>
            </w:pPr>
            <w:r>
              <w:rPr>
                <w:sz w:val="18"/>
              </w:rPr>
              <w:t>3433</w:t>
            </w:r>
          </w:p>
        </w:tc>
        <w:tc>
          <w:tcPr>
            <w:tcW w:w="1860" w:type="dxa"/>
            <w:tcMar>
              <w:top w:w="0" w:type="dxa"/>
              <w:bottom w:w="0" w:type="dxa"/>
            </w:tcMar>
            <w:vAlign w:val="center"/>
          </w:tcPr>
          <w:p w14:paraId="6D3F894B" w14:textId="77777777" w:rsidR="00FA2BDA" w:rsidRDefault="0061149C">
            <w:pPr>
              <w:keepNext/>
              <w:keepLines/>
              <w:spacing w:after="0" w:line="240" w:lineRule="auto"/>
              <w:jc w:val="right"/>
            </w:pPr>
            <w:r>
              <w:rPr>
                <w:sz w:val="18"/>
              </w:rPr>
              <w:t>357,36</w:t>
            </w:r>
          </w:p>
        </w:tc>
        <w:tc>
          <w:tcPr>
            <w:tcW w:w="1860" w:type="dxa"/>
            <w:tcMar>
              <w:top w:w="0" w:type="dxa"/>
              <w:bottom w:w="0" w:type="dxa"/>
            </w:tcMar>
            <w:vAlign w:val="center"/>
          </w:tcPr>
          <w:p w14:paraId="3982E321" w14:textId="77777777" w:rsidR="00FA2BDA" w:rsidRDefault="0061149C">
            <w:pPr>
              <w:keepNext/>
              <w:keepLines/>
              <w:spacing w:after="0" w:line="240" w:lineRule="auto"/>
              <w:jc w:val="right"/>
            </w:pPr>
            <w:r>
              <w:rPr>
                <w:sz w:val="18"/>
              </w:rPr>
              <w:t>0,00</w:t>
            </w:r>
          </w:p>
        </w:tc>
        <w:tc>
          <w:tcPr>
            <w:tcW w:w="700" w:type="dxa"/>
            <w:tcMar>
              <w:top w:w="0" w:type="dxa"/>
              <w:bottom w:w="0" w:type="dxa"/>
            </w:tcMar>
            <w:vAlign w:val="center"/>
          </w:tcPr>
          <w:p w14:paraId="6D503D94" w14:textId="77777777" w:rsidR="00FA2BDA" w:rsidRDefault="0061149C">
            <w:pPr>
              <w:keepNext/>
              <w:keepLines/>
              <w:spacing w:after="0" w:line="240" w:lineRule="auto"/>
              <w:jc w:val="right"/>
            </w:pPr>
            <w:r>
              <w:rPr>
                <w:sz w:val="18"/>
              </w:rPr>
              <w:t>0</w:t>
            </w:r>
          </w:p>
        </w:tc>
      </w:tr>
    </w:tbl>
    <w:p w14:paraId="441A94FB" w14:textId="77777777" w:rsidR="00FA2BDA" w:rsidRDefault="00FA2BDA">
      <w:pPr>
        <w:spacing w:after="0"/>
      </w:pPr>
    </w:p>
    <w:p w14:paraId="4AD23B8C" w14:textId="77777777" w:rsidR="00FA2BDA" w:rsidRDefault="0061149C">
      <w:pPr>
        <w:spacing w:line="240" w:lineRule="auto"/>
        <w:jc w:val="both"/>
      </w:pPr>
      <w:r>
        <w:t xml:space="preserve">Zatezne kamate nemaju stanje, za razliku na isto razdoblje prošle godine kad smo isplatili sudsku </w:t>
      </w:r>
      <w:r>
        <w:t>tužbu pa su obračunate zatezne kamate u iznosu od 357,36 EUR.</w:t>
      </w:r>
    </w:p>
    <w:p w14:paraId="7E4345F1" w14:textId="77777777" w:rsidR="00FA2BDA" w:rsidRDefault="00FA2BDA"/>
    <w:p w14:paraId="75DF37D1" w14:textId="77777777" w:rsidR="00FA2BDA" w:rsidRDefault="0061149C">
      <w:pPr>
        <w:keepNext/>
        <w:spacing w:line="240" w:lineRule="auto"/>
        <w:jc w:val="center"/>
      </w:pPr>
      <w:r>
        <w:rPr>
          <w:sz w:val="28"/>
        </w:rPr>
        <w:t>Bilješka 39.</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7794313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F6D4424"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DDBCC40"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437B5C7"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84556F5"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725A94D"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ADCE6EF" w14:textId="77777777" w:rsidR="00FA2BDA" w:rsidRDefault="0061149C">
            <w:pPr>
              <w:keepNext/>
              <w:keepLines/>
              <w:spacing w:after="0" w:line="240" w:lineRule="auto"/>
              <w:jc w:val="center"/>
            </w:pPr>
            <w:r>
              <w:rPr>
                <w:b/>
                <w:sz w:val="18"/>
              </w:rPr>
              <w:t>Indeks (%)</w:t>
            </w:r>
          </w:p>
        </w:tc>
      </w:tr>
      <w:tr w:rsidR="00FA2BDA" w14:paraId="36EBACDF" w14:textId="77777777">
        <w:tblPrEx>
          <w:tblCellMar>
            <w:top w:w="0" w:type="dxa"/>
            <w:bottom w:w="0" w:type="dxa"/>
          </w:tblCellMar>
        </w:tblPrEx>
        <w:trPr>
          <w:cantSplit/>
          <w:trHeight w:val="560"/>
        </w:trPr>
        <w:tc>
          <w:tcPr>
            <w:tcW w:w="700" w:type="dxa"/>
            <w:tcMar>
              <w:top w:w="0" w:type="dxa"/>
              <w:bottom w:w="0" w:type="dxa"/>
            </w:tcMar>
            <w:vAlign w:val="center"/>
          </w:tcPr>
          <w:p w14:paraId="0B32103D" w14:textId="77777777" w:rsidR="00FA2BDA" w:rsidRDefault="0061149C">
            <w:pPr>
              <w:keepNext/>
              <w:keepLines/>
              <w:spacing w:after="0" w:line="240" w:lineRule="auto"/>
            </w:pPr>
            <w:r>
              <w:rPr>
                <w:sz w:val="18"/>
              </w:rPr>
              <w:t>3722</w:t>
            </w:r>
          </w:p>
        </w:tc>
        <w:tc>
          <w:tcPr>
            <w:tcW w:w="3180" w:type="dxa"/>
            <w:tcMar>
              <w:top w:w="0" w:type="dxa"/>
              <w:bottom w:w="0" w:type="dxa"/>
            </w:tcMar>
            <w:vAlign w:val="center"/>
          </w:tcPr>
          <w:p w14:paraId="1AA59941" w14:textId="77777777" w:rsidR="00FA2BDA" w:rsidRDefault="0061149C">
            <w:pPr>
              <w:keepNext/>
              <w:keepLines/>
              <w:spacing w:after="0" w:line="240" w:lineRule="auto"/>
            </w:pPr>
            <w:r>
              <w:rPr>
                <w:sz w:val="18"/>
              </w:rPr>
              <w:t xml:space="preserve">Naknade </w:t>
            </w:r>
            <w:r>
              <w:rPr>
                <w:sz w:val="18"/>
              </w:rPr>
              <w:t>građanima i kućanstvima u naravi</w:t>
            </w:r>
          </w:p>
        </w:tc>
        <w:tc>
          <w:tcPr>
            <w:tcW w:w="700" w:type="dxa"/>
            <w:tcMar>
              <w:top w:w="0" w:type="dxa"/>
              <w:bottom w:w="0" w:type="dxa"/>
            </w:tcMar>
            <w:vAlign w:val="center"/>
          </w:tcPr>
          <w:p w14:paraId="5DF502B7" w14:textId="77777777" w:rsidR="00FA2BDA" w:rsidRDefault="0061149C">
            <w:pPr>
              <w:keepNext/>
              <w:keepLines/>
              <w:spacing w:after="0" w:line="240" w:lineRule="auto"/>
            </w:pPr>
            <w:r>
              <w:rPr>
                <w:sz w:val="18"/>
              </w:rPr>
              <w:t>3722</w:t>
            </w:r>
          </w:p>
        </w:tc>
        <w:tc>
          <w:tcPr>
            <w:tcW w:w="1860" w:type="dxa"/>
            <w:tcMar>
              <w:top w:w="0" w:type="dxa"/>
              <w:bottom w:w="0" w:type="dxa"/>
            </w:tcMar>
            <w:vAlign w:val="center"/>
          </w:tcPr>
          <w:p w14:paraId="1B7617D9" w14:textId="77777777" w:rsidR="00FA2BDA" w:rsidRDefault="0061149C">
            <w:pPr>
              <w:keepNext/>
              <w:keepLines/>
              <w:spacing w:after="0" w:line="240" w:lineRule="auto"/>
              <w:jc w:val="right"/>
            </w:pPr>
            <w:r>
              <w:rPr>
                <w:sz w:val="18"/>
              </w:rPr>
              <w:t>219,67</w:t>
            </w:r>
          </w:p>
        </w:tc>
        <w:tc>
          <w:tcPr>
            <w:tcW w:w="1860" w:type="dxa"/>
            <w:tcMar>
              <w:top w:w="0" w:type="dxa"/>
              <w:bottom w:w="0" w:type="dxa"/>
            </w:tcMar>
            <w:vAlign w:val="center"/>
          </w:tcPr>
          <w:p w14:paraId="1C7DB2DB" w14:textId="77777777" w:rsidR="00FA2BDA" w:rsidRDefault="0061149C">
            <w:pPr>
              <w:keepNext/>
              <w:keepLines/>
              <w:spacing w:after="0" w:line="240" w:lineRule="auto"/>
              <w:jc w:val="right"/>
            </w:pPr>
            <w:r>
              <w:rPr>
                <w:sz w:val="18"/>
              </w:rPr>
              <w:t>10,37</w:t>
            </w:r>
          </w:p>
        </w:tc>
        <w:tc>
          <w:tcPr>
            <w:tcW w:w="700" w:type="dxa"/>
            <w:tcMar>
              <w:top w:w="0" w:type="dxa"/>
              <w:bottom w:w="0" w:type="dxa"/>
            </w:tcMar>
            <w:vAlign w:val="center"/>
          </w:tcPr>
          <w:p w14:paraId="1D4338ED" w14:textId="77777777" w:rsidR="00FA2BDA" w:rsidRDefault="0061149C">
            <w:pPr>
              <w:keepNext/>
              <w:keepLines/>
              <w:spacing w:after="0" w:line="240" w:lineRule="auto"/>
              <w:jc w:val="right"/>
            </w:pPr>
            <w:r>
              <w:rPr>
                <w:sz w:val="18"/>
              </w:rPr>
              <w:t>4,7</w:t>
            </w:r>
          </w:p>
        </w:tc>
      </w:tr>
    </w:tbl>
    <w:p w14:paraId="0A53B983" w14:textId="77777777" w:rsidR="00FA2BDA" w:rsidRDefault="00FA2BDA">
      <w:pPr>
        <w:spacing w:after="0"/>
      </w:pPr>
    </w:p>
    <w:p w14:paraId="4900898A" w14:textId="77777777" w:rsidR="00FA2BDA" w:rsidRDefault="0061149C">
      <w:pPr>
        <w:spacing w:line="240" w:lineRule="auto"/>
        <w:jc w:val="both"/>
      </w:pPr>
      <w:r>
        <w:t>Naknade građanima i kućanstvima u naravi su ostvarene u iznosu od 10,37 EUR i imaju indeks 4,7  jer smo 2024. godine nabavljali više dodatnih udžbenika za novoupisane učenike.</w:t>
      </w:r>
    </w:p>
    <w:p w14:paraId="34A960C1" w14:textId="77777777" w:rsidR="00FA2BDA" w:rsidRDefault="00FA2BDA"/>
    <w:p w14:paraId="60F19BFC" w14:textId="77777777" w:rsidR="00FA2BDA" w:rsidRDefault="0061149C">
      <w:pPr>
        <w:keepNext/>
        <w:spacing w:line="240" w:lineRule="auto"/>
        <w:jc w:val="center"/>
      </w:pPr>
      <w:r>
        <w:rPr>
          <w:sz w:val="28"/>
        </w:rPr>
        <w:t>Bilješka 40.</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6ED43FA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FFA0484"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58BF9FF"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6026E67"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65212D4"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5A90557"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03EA888" w14:textId="77777777" w:rsidR="00FA2BDA" w:rsidRDefault="0061149C">
            <w:pPr>
              <w:keepNext/>
              <w:keepLines/>
              <w:spacing w:after="0" w:line="240" w:lineRule="auto"/>
              <w:jc w:val="center"/>
            </w:pPr>
            <w:r>
              <w:rPr>
                <w:b/>
                <w:sz w:val="18"/>
              </w:rPr>
              <w:t>Indeks (%)</w:t>
            </w:r>
          </w:p>
        </w:tc>
      </w:tr>
      <w:tr w:rsidR="00FA2BDA" w14:paraId="26763C15" w14:textId="77777777">
        <w:tblPrEx>
          <w:tblCellMar>
            <w:top w:w="0" w:type="dxa"/>
            <w:bottom w:w="0" w:type="dxa"/>
          </w:tblCellMar>
        </w:tblPrEx>
        <w:trPr>
          <w:cantSplit/>
          <w:trHeight w:val="560"/>
        </w:trPr>
        <w:tc>
          <w:tcPr>
            <w:tcW w:w="700" w:type="dxa"/>
            <w:tcMar>
              <w:top w:w="0" w:type="dxa"/>
              <w:bottom w:w="0" w:type="dxa"/>
            </w:tcMar>
            <w:vAlign w:val="center"/>
          </w:tcPr>
          <w:p w14:paraId="5F9A9FC4" w14:textId="77777777" w:rsidR="00FA2BDA" w:rsidRDefault="0061149C">
            <w:pPr>
              <w:keepNext/>
              <w:keepLines/>
              <w:spacing w:after="0" w:line="240" w:lineRule="auto"/>
            </w:pPr>
            <w:r>
              <w:rPr>
                <w:sz w:val="18"/>
              </w:rPr>
              <w:t>3812</w:t>
            </w:r>
          </w:p>
        </w:tc>
        <w:tc>
          <w:tcPr>
            <w:tcW w:w="3180" w:type="dxa"/>
            <w:tcMar>
              <w:top w:w="0" w:type="dxa"/>
              <w:bottom w:w="0" w:type="dxa"/>
            </w:tcMar>
            <w:vAlign w:val="center"/>
          </w:tcPr>
          <w:p w14:paraId="49F001BD" w14:textId="77777777" w:rsidR="00FA2BDA" w:rsidRDefault="0061149C">
            <w:pPr>
              <w:keepNext/>
              <w:keepLines/>
              <w:spacing w:after="0" w:line="240" w:lineRule="auto"/>
            </w:pPr>
            <w:r>
              <w:rPr>
                <w:sz w:val="18"/>
              </w:rPr>
              <w:t>Tekuće donacije u naravi</w:t>
            </w:r>
          </w:p>
        </w:tc>
        <w:tc>
          <w:tcPr>
            <w:tcW w:w="700" w:type="dxa"/>
            <w:tcMar>
              <w:top w:w="0" w:type="dxa"/>
              <w:bottom w:w="0" w:type="dxa"/>
            </w:tcMar>
            <w:vAlign w:val="center"/>
          </w:tcPr>
          <w:p w14:paraId="177F79D8" w14:textId="77777777" w:rsidR="00FA2BDA" w:rsidRDefault="0061149C">
            <w:pPr>
              <w:keepNext/>
              <w:keepLines/>
              <w:spacing w:after="0" w:line="240" w:lineRule="auto"/>
            </w:pPr>
            <w:r>
              <w:rPr>
                <w:sz w:val="18"/>
              </w:rPr>
              <w:t>3812</w:t>
            </w:r>
          </w:p>
        </w:tc>
        <w:tc>
          <w:tcPr>
            <w:tcW w:w="1860" w:type="dxa"/>
            <w:tcMar>
              <w:top w:w="0" w:type="dxa"/>
              <w:bottom w:w="0" w:type="dxa"/>
            </w:tcMar>
            <w:vAlign w:val="center"/>
          </w:tcPr>
          <w:p w14:paraId="10720034" w14:textId="77777777" w:rsidR="00FA2BDA" w:rsidRDefault="0061149C">
            <w:pPr>
              <w:keepNext/>
              <w:keepLines/>
              <w:spacing w:after="0" w:line="240" w:lineRule="auto"/>
              <w:jc w:val="right"/>
            </w:pPr>
            <w:r>
              <w:rPr>
                <w:sz w:val="18"/>
              </w:rPr>
              <w:t>0,00</w:t>
            </w:r>
          </w:p>
        </w:tc>
        <w:tc>
          <w:tcPr>
            <w:tcW w:w="1860" w:type="dxa"/>
            <w:tcMar>
              <w:top w:w="0" w:type="dxa"/>
              <w:bottom w:w="0" w:type="dxa"/>
            </w:tcMar>
            <w:vAlign w:val="center"/>
          </w:tcPr>
          <w:p w14:paraId="007E8F3B" w14:textId="77777777" w:rsidR="00FA2BDA" w:rsidRDefault="0061149C">
            <w:pPr>
              <w:keepNext/>
              <w:keepLines/>
              <w:spacing w:after="0" w:line="240" w:lineRule="auto"/>
              <w:jc w:val="right"/>
            </w:pPr>
            <w:r>
              <w:rPr>
                <w:sz w:val="18"/>
              </w:rPr>
              <w:t>1.777,50</w:t>
            </w:r>
          </w:p>
        </w:tc>
        <w:tc>
          <w:tcPr>
            <w:tcW w:w="700" w:type="dxa"/>
            <w:tcMar>
              <w:top w:w="0" w:type="dxa"/>
              <w:bottom w:w="0" w:type="dxa"/>
            </w:tcMar>
            <w:vAlign w:val="center"/>
          </w:tcPr>
          <w:p w14:paraId="124970BA" w14:textId="77777777" w:rsidR="00FA2BDA" w:rsidRDefault="0061149C">
            <w:pPr>
              <w:keepNext/>
              <w:keepLines/>
              <w:spacing w:after="0" w:line="240" w:lineRule="auto"/>
              <w:jc w:val="right"/>
            </w:pPr>
            <w:r>
              <w:rPr>
                <w:sz w:val="18"/>
              </w:rPr>
              <w:t>-</w:t>
            </w:r>
          </w:p>
        </w:tc>
      </w:tr>
    </w:tbl>
    <w:p w14:paraId="20EBAC90" w14:textId="77777777" w:rsidR="00FA2BDA" w:rsidRDefault="00FA2BDA">
      <w:pPr>
        <w:spacing w:after="0"/>
      </w:pPr>
    </w:p>
    <w:p w14:paraId="0C47D19E" w14:textId="77777777" w:rsidR="00FA2BDA" w:rsidRDefault="0061149C">
      <w:pPr>
        <w:spacing w:line="240" w:lineRule="auto"/>
        <w:jc w:val="both"/>
      </w:pPr>
      <w:r>
        <w:t xml:space="preserve">Tekuće donacije u naravi su ostvarene u iznosu od </w:t>
      </w:r>
      <w:r>
        <w:t>1.777,50 EUR za kupovinu menstrualnih potrepština za djevojčice. U 2024. godini je ta nabava realizirana u drugom polugodištu godine.</w:t>
      </w:r>
    </w:p>
    <w:p w14:paraId="3A414632" w14:textId="77777777" w:rsidR="00FA2BDA" w:rsidRDefault="00FA2BDA"/>
    <w:p w14:paraId="752EB94D" w14:textId="77777777" w:rsidR="00FA2BDA" w:rsidRDefault="0061149C">
      <w:pPr>
        <w:keepNext/>
        <w:spacing w:line="240" w:lineRule="auto"/>
        <w:jc w:val="center"/>
      </w:pPr>
      <w:r>
        <w:rPr>
          <w:sz w:val="28"/>
        </w:rPr>
        <w:t>Bilješka 41.</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6FC1E1C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C87ABEC"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BDB3469"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76520C"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D366F27"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C52E803" w14:textId="77777777" w:rsidR="00FA2BDA" w:rsidRDefault="0061149C">
            <w:pPr>
              <w:keepNext/>
              <w:keepLines/>
              <w:spacing w:after="0" w:line="240" w:lineRule="auto"/>
              <w:jc w:val="center"/>
            </w:pPr>
            <w:r>
              <w:rPr>
                <w:b/>
                <w:sz w:val="18"/>
              </w:rPr>
              <w:t>Ostvareno u izvješ</w:t>
            </w:r>
            <w:r>
              <w:rPr>
                <w:b/>
                <w:sz w:val="18"/>
              </w:rPr>
              <w:t>tajnom razdoblju tekuće godine</w:t>
            </w:r>
          </w:p>
        </w:tc>
        <w:tc>
          <w:tcPr>
            <w:tcW w:w="700" w:type="dxa"/>
            <w:shd w:val="clear" w:color="auto" w:fill="E7F0F9"/>
            <w:tcMar>
              <w:top w:w="0" w:type="dxa"/>
              <w:bottom w:w="0" w:type="dxa"/>
            </w:tcMar>
            <w:vAlign w:val="center"/>
          </w:tcPr>
          <w:p w14:paraId="339B8173" w14:textId="77777777" w:rsidR="00FA2BDA" w:rsidRDefault="0061149C">
            <w:pPr>
              <w:keepNext/>
              <w:keepLines/>
              <w:spacing w:after="0" w:line="240" w:lineRule="auto"/>
              <w:jc w:val="center"/>
            </w:pPr>
            <w:r>
              <w:rPr>
                <w:b/>
                <w:sz w:val="18"/>
              </w:rPr>
              <w:t>Indeks (%)</w:t>
            </w:r>
          </w:p>
        </w:tc>
      </w:tr>
      <w:tr w:rsidR="00FA2BDA" w14:paraId="55444525" w14:textId="77777777">
        <w:tblPrEx>
          <w:tblCellMar>
            <w:top w:w="0" w:type="dxa"/>
            <w:bottom w:w="0" w:type="dxa"/>
          </w:tblCellMar>
        </w:tblPrEx>
        <w:trPr>
          <w:cantSplit/>
          <w:trHeight w:val="560"/>
        </w:trPr>
        <w:tc>
          <w:tcPr>
            <w:tcW w:w="700" w:type="dxa"/>
            <w:tcMar>
              <w:top w:w="0" w:type="dxa"/>
              <w:bottom w:w="0" w:type="dxa"/>
            </w:tcMar>
            <w:vAlign w:val="center"/>
          </w:tcPr>
          <w:p w14:paraId="7BFEA62A" w14:textId="77777777" w:rsidR="00FA2BDA" w:rsidRDefault="0061149C">
            <w:pPr>
              <w:keepNext/>
              <w:keepLines/>
              <w:spacing w:after="0" w:line="240" w:lineRule="auto"/>
            </w:pPr>
            <w:r>
              <w:rPr>
                <w:sz w:val="18"/>
              </w:rPr>
              <w:t>92221</w:t>
            </w:r>
          </w:p>
        </w:tc>
        <w:tc>
          <w:tcPr>
            <w:tcW w:w="3180" w:type="dxa"/>
            <w:tcMar>
              <w:top w:w="0" w:type="dxa"/>
              <w:bottom w:w="0" w:type="dxa"/>
            </w:tcMar>
            <w:vAlign w:val="center"/>
          </w:tcPr>
          <w:p w14:paraId="73399F9A" w14:textId="77777777" w:rsidR="00FA2BDA" w:rsidRDefault="0061149C">
            <w:pPr>
              <w:keepNext/>
              <w:keepLines/>
              <w:spacing w:after="0" w:line="240" w:lineRule="auto"/>
            </w:pPr>
            <w:r>
              <w:rPr>
                <w:sz w:val="18"/>
              </w:rPr>
              <w:t>Manjak prihoda poslovanja - preneseni</w:t>
            </w:r>
          </w:p>
        </w:tc>
        <w:tc>
          <w:tcPr>
            <w:tcW w:w="700" w:type="dxa"/>
            <w:tcMar>
              <w:top w:w="0" w:type="dxa"/>
              <w:bottom w:w="0" w:type="dxa"/>
            </w:tcMar>
            <w:vAlign w:val="center"/>
          </w:tcPr>
          <w:p w14:paraId="04ACCB03" w14:textId="77777777" w:rsidR="00FA2BDA" w:rsidRDefault="0061149C">
            <w:pPr>
              <w:keepNext/>
              <w:keepLines/>
              <w:spacing w:after="0" w:line="240" w:lineRule="auto"/>
            </w:pPr>
            <w:r>
              <w:rPr>
                <w:sz w:val="18"/>
              </w:rPr>
              <w:t>92221</w:t>
            </w:r>
          </w:p>
        </w:tc>
        <w:tc>
          <w:tcPr>
            <w:tcW w:w="1860" w:type="dxa"/>
            <w:tcMar>
              <w:top w:w="0" w:type="dxa"/>
              <w:bottom w:w="0" w:type="dxa"/>
            </w:tcMar>
            <w:vAlign w:val="center"/>
          </w:tcPr>
          <w:p w14:paraId="73F4F380" w14:textId="77777777" w:rsidR="00FA2BDA" w:rsidRDefault="0061149C">
            <w:pPr>
              <w:keepNext/>
              <w:keepLines/>
              <w:spacing w:after="0" w:line="240" w:lineRule="auto"/>
              <w:jc w:val="right"/>
            </w:pPr>
            <w:r>
              <w:rPr>
                <w:sz w:val="18"/>
              </w:rPr>
              <w:t>45.290,60</w:t>
            </w:r>
          </w:p>
        </w:tc>
        <w:tc>
          <w:tcPr>
            <w:tcW w:w="1860" w:type="dxa"/>
            <w:tcMar>
              <w:top w:w="0" w:type="dxa"/>
              <w:bottom w:w="0" w:type="dxa"/>
            </w:tcMar>
            <w:vAlign w:val="center"/>
          </w:tcPr>
          <w:p w14:paraId="172E654C" w14:textId="77777777" w:rsidR="00FA2BDA" w:rsidRDefault="0061149C">
            <w:pPr>
              <w:keepNext/>
              <w:keepLines/>
              <w:spacing w:after="0" w:line="240" w:lineRule="auto"/>
              <w:jc w:val="right"/>
            </w:pPr>
            <w:r>
              <w:rPr>
                <w:sz w:val="18"/>
              </w:rPr>
              <w:t>67.817,29</w:t>
            </w:r>
          </w:p>
        </w:tc>
        <w:tc>
          <w:tcPr>
            <w:tcW w:w="700" w:type="dxa"/>
            <w:tcMar>
              <w:top w:w="0" w:type="dxa"/>
              <w:bottom w:w="0" w:type="dxa"/>
            </w:tcMar>
            <w:vAlign w:val="center"/>
          </w:tcPr>
          <w:p w14:paraId="69F0C862" w14:textId="77777777" w:rsidR="00FA2BDA" w:rsidRDefault="0061149C">
            <w:pPr>
              <w:keepNext/>
              <w:keepLines/>
              <w:spacing w:after="0" w:line="240" w:lineRule="auto"/>
              <w:jc w:val="right"/>
            </w:pPr>
            <w:r>
              <w:rPr>
                <w:sz w:val="18"/>
              </w:rPr>
              <w:t>149,7</w:t>
            </w:r>
          </w:p>
        </w:tc>
      </w:tr>
    </w:tbl>
    <w:p w14:paraId="371D8BB6" w14:textId="77777777" w:rsidR="00FA2BDA" w:rsidRDefault="00FA2BDA">
      <w:pPr>
        <w:spacing w:after="0"/>
      </w:pPr>
    </w:p>
    <w:p w14:paraId="038594D8" w14:textId="77777777" w:rsidR="00FA2BDA" w:rsidRDefault="0061149C">
      <w:pPr>
        <w:spacing w:line="240" w:lineRule="auto"/>
        <w:jc w:val="both"/>
      </w:pPr>
      <w:r>
        <w:t xml:space="preserve">Manjak prihoda poslovanja - preneseni se mijenjao po Odluci o raspodjeli rezultata od 13.03.2025. godine i iznosi 67.817,29 EUR. </w:t>
      </w:r>
      <w:r>
        <w:t>Nešto je veći u odnosu na 2024. godinu jer smo u 2025. prenesli veći metodološki manjak.</w:t>
      </w:r>
    </w:p>
    <w:p w14:paraId="36ABE023" w14:textId="77777777" w:rsidR="00FA2BDA" w:rsidRDefault="00FA2BDA"/>
    <w:p w14:paraId="7AC264FF" w14:textId="77777777" w:rsidR="00FA2BDA" w:rsidRDefault="0061149C">
      <w:pPr>
        <w:keepNext/>
        <w:spacing w:line="240" w:lineRule="auto"/>
        <w:jc w:val="center"/>
      </w:pPr>
      <w:r>
        <w:rPr>
          <w:sz w:val="28"/>
        </w:rPr>
        <w:t>Bilješka 42.</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358898C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EA97304"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5AE14FB"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267A152"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CA4B335"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57BF217"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F031D51" w14:textId="77777777" w:rsidR="00FA2BDA" w:rsidRDefault="0061149C">
            <w:pPr>
              <w:keepNext/>
              <w:keepLines/>
              <w:spacing w:after="0" w:line="240" w:lineRule="auto"/>
              <w:jc w:val="center"/>
            </w:pPr>
            <w:r>
              <w:rPr>
                <w:b/>
                <w:sz w:val="18"/>
              </w:rPr>
              <w:t>Indeks (%)</w:t>
            </w:r>
          </w:p>
        </w:tc>
      </w:tr>
      <w:tr w:rsidR="00FA2BDA" w14:paraId="47DE652B" w14:textId="77777777">
        <w:tblPrEx>
          <w:tblCellMar>
            <w:top w:w="0" w:type="dxa"/>
            <w:bottom w:w="0" w:type="dxa"/>
          </w:tblCellMar>
        </w:tblPrEx>
        <w:trPr>
          <w:cantSplit/>
          <w:trHeight w:val="560"/>
        </w:trPr>
        <w:tc>
          <w:tcPr>
            <w:tcW w:w="700" w:type="dxa"/>
            <w:tcMar>
              <w:top w:w="0" w:type="dxa"/>
              <w:bottom w:w="0" w:type="dxa"/>
            </w:tcMar>
            <w:vAlign w:val="center"/>
          </w:tcPr>
          <w:p w14:paraId="5459B095" w14:textId="77777777" w:rsidR="00FA2BDA" w:rsidRDefault="0061149C">
            <w:pPr>
              <w:keepNext/>
              <w:keepLines/>
              <w:spacing w:after="0" w:line="240" w:lineRule="auto"/>
            </w:pPr>
            <w:r>
              <w:rPr>
                <w:sz w:val="18"/>
              </w:rPr>
              <w:t>96</w:t>
            </w:r>
          </w:p>
        </w:tc>
        <w:tc>
          <w:tcPr>
            <w:tcW w:w="3180" w:type="dxa"/>
            <w:tcMar>
              <w:top w:w="0" w:type="dxa"/>
              <w:bottom w:w="0" w:type="dxa"/>
            </w:tcMar>
            <w:vAlign w:val="center"/>
          </w:tcPr>
          <w:p w14:paraId="0FD81701" w14:textId="77777777" w:rsidR="00FA2BDA" w:rsidRDefault="0061149C">
            <w:pPr>
              <w:keepNext/>
              <w:keepLines/>
              <w:spacing w:after="0" w:line="240" w:lineRule="auto"/>
            </w:pPr>
            <w:r>
              <w:rPr>
                <w:sz w:val="18"/>
              </w:rPr>
              <w:t>Obračunati prihodi poslovanja - nenaplaćeni</w:t>
            </w:r>
          </w:p>
        </w:tc>
        <w:tc>
          <w:tcPr>
            <w:tcW w:w="700" w:type="dxa"/>
            <w:tcMar>
              <w:top w:w="0" w:type="dxa"/>
              <w:bottom w:w="0" w:type="dxa"/>
            </w:tcMar>
            <w:vAlign w:val="center"/>
          </w:tcPr>
          <w:p w14:paraId="6FF730CA" w14:textId="77777777" w:rsidR="00FA2BDA" w:rsidRDefault="0061149C">
            <w:pPr>
              <w:keepNext/>
              <w:keepLines/>
              <w:spacing w:after="0" w:line="240" w:lineRule="auto"/>
            </w:pPr>
            <w:r>
              <w:rPr>
                <w:sz w:val="18"/>
              </w:rPr>
              <w:t>96</w:t>
            </w:r>
          </w:p>
        </w:tc>
        <w:tc>
          <w:tcPr>
            <w:tcW w:w="1860" w:type="dxa"/>
            <w:tcMar>
              <w:top w:w="0" w:type="dxa"/>
              <w:bottom w:w="0" w:type="dxa"/>
            </w:tcMar>
            <w:vAlign w:val="center"/>
          </w:tcPr>
          <w:p w14:paraId="7917B4C2" w14:textId="77777777" w:rsidR="00FA2BDA" w:rsidRDefault="0061149C">
            <w:pPr>
              <w:keepNext/>
              <w:keepLines/>
              <w:spacing w:after="0" w:line="240" w:lineRule="auto"/>
              <w:jc w:val="right"/>
            </w:pPr>
            <w:r>
              <w:rPr>
                <w:sz w:val="18"/>
              </w:rPr>
              <w:t>1.556,38</w:t>
            </w:r>
          </w:p>
        </w:tc>
        <w:tc>
          <w:tcPr>
            <w:tcW w:w="1860" w:type="dxa"/>
            <w:tcMar>
              <w:top w:w="0" w:type="dxa"/>
              <w:bottom w:w="0" w:type="dxa"/>
            </w:tcMar>
            <w:vAlign w:val="center"/>
          </w:tcPr>
          <w:p w14:paraId="1D7E6E97" w14:textId="77777777" w:rsidR="00FA2BDA" w:rsidRDefault="0061149C">
            <w:pPr>
              <w:keepNext/>
              <w:keepLines/>
              <w:spacing w:after="0" w:line="240" w:lineRule="auto"/>
              <w:jc w:val="right"/>
            </w:pPr>
            <w:r>
              <w:rPr>
                <w:sz w:val="18"/>
              </w:rPr>
              <w:t>208.382,73</w:t>
            </w:r>
          </w:p>
        </w:tc>
        <w:tc>
          <w:tcPr>
            <w:tcW w:w="700" w:type="dxa"/>
            <w:tcMar>
              <w:top w:w="0" w:type="dxa"/>
              <w:bottom w:w="0" w:type="dxa"/>
            </w:tcMar>
            <w:vAlign w:val="center"/>
          </w:tcPr>
          <w:p w14:paraId="166550EE" w14:textId="77777777" w:rsidR="00FA2BDA" w:rsidRDefault="0061149C">
            <w:pPr>
              <w:keepNext/>
              <w:keepLines/>
              <w:spacing w:after="0" w:line="240" w:lineRule="auto"/>
              <w:jc w:val="right"/>
            </w:pPr>
            <w:r>
              <w:rPr>
                <w:sz w:val="18"/>
              </w:rPr>
              <w:t>&gt;&gt;100</w:t>
            </w:r>
          </w:p>
        </w:tc>
      </w:tr>
    </w:tbl>
    <w:p w14:paraId="39DC10FE" w14:textId="77777777" w:rsidR="00FA2BDA" w:rsidRDefault="00FA2BDA">
      <w:pPr>
        <w:spacing w:after="0"/>
      </w:pPr>
    </w:p>
    <w:p w14:paraId="4A84A91A" w14:textId="77777777" w:rsidR="00FA2BDA" w:rsidRDefault="0061149C">
      <w:pPr>
        <w:spacing w:line="240" w:lineRule="auto"/>
        <w:jc w:val="both"/>
      </w:pPr>
      <w:r>
        <w:t xml:space="preserve">Obračunati prihodi poslovanja – nenaplaćeni imaju rast indeksa »100 jer smo prema novom Pravilniku o proračunskom računovodstvu i računskom planu morali knjižiti </w:t>
      </w:r>
      <w:r>
        <w:t>potraživanja i obračunate prihode za plaću i materijalna prava što nije bio slučaj prethodnih godina.</w:t>
      </w:r>
    </w:p>
    <w:p w14:paraId="5E583990" w14:textId="77777777" w:rsidR="00FA2BDA" w:rsidRDefault="00FA2BDA"/>
    <w:p w14:paraId="79A53176" w14:textId="77777777" w:rsidR="00FA2BDA" w:rsidRDefault="0061149C">
      <w:pPr>
        <w:keepNext/>
        <w:spacing w:line="240" w:lineRule="auto"/>
        <w:jc w:val="center"/>
      </w:pPr>
      <w:r>
        <w:rPr>
          <w:sz w:val="28"/>
        </w:rPr>
        <w:t>Bilješka 43.</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5433C9B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1676823"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712F2B1"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CF519F5"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1F1CBE8"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4285F85"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BE53BCB" w14:textId="77777777" w:rsidR="00FA2BDA" w:rsidRDefault="0061149C">
            <w:pPr>
              <w:keepNext/>
              <w:keepLines/>
              <w:spacing w:after="0" w:line="240" w:lineRule="auto"/>
              <w:jc w:val="center"/>
            </w:pPr>
            <w:r>
              <w:rPr>
                <w:b/>
                <w:sz w:val="18"/>
              </w:rPr>
              <w:t>I</w:t>
            </w:r>
            <w:r>
              <w:rPr>
                <w:b/>
                <w:sz w:val="18"/>
              </w:rPr>
              <w:t>ndeks (%)</w:t>
            </w:r>
          </w:p>
        </w:tc>
      </w:tr>
      <w:tr w:rsidR="00FA2BDA" w14:paraId="3241842E" w14:textId="77777777">
        <w:tblPrEx>
          <w:tblCellMar>
            <w:top w:w="0" w:type="dxa"/>
            <w:bottom w:w="0" w:type="dxa"/>
          </w:tblCellMar>
        </w:tblPrEx>
        <w:trPr>
          <w:cantSplit/>
          <w:trHeight w:val="560"/>
        </w:trPr>
        <w:tc>
          <w:tcPr>
            <w:tcW w:w="700" w:type="dxa"/>
            <w:tcMar>
              <w:top w:w="0" w:type="dxa"/>
              <w:bottom w:w="0" w:type="dxa"/>
            </w:tcMar>
            <w:vAlign w:val="center"/>
          </w:tcPr>
          <w:p w14:paraId="61CE4BC4" w14:textId="77777777" w:rsidR="00FA2BDA" w:rsidRDefault="0061149C">
            <w:pPr>
              <w:keepNext/>
              <w:keepLines/>
              <w:spacing w:after="0" w:line="240" w:lineRule="auto"/>
            </w:pPr>
            <w:r>
              <w:rPr>
                <w:sz w:val="18"/>
              </w:rPr>
              <w:t>92212</w:t>
            </w:r>
          </w:p>
        </w:tc>
        <w:tc>
          <w:tcPr>
            <w:tcW w:w="3180" w:type="dxa"/>
            <w:tcMar>
              <w:top w:w="0" w:type="dxa"/>
              <w:bottom w:w="0" w:type="dxa"/>
            </w:tcMar>
            <w:vAlign w:val="center"/>
          </w:tcPr>
          <w:p w14:paraId="423D99AF" w14:textId="77777777" w:rsidR="00FA2BDA" w:rsidRDefault="0061149C">
            <w:pPr>
              <w:keepNext/>
              <w:keepLines/>
              <w:spacing w:after="0" w:line="240" w:lineRule="auto"/>
            </w:pPr>
            <w:r>
              <w:rPr>
                <w:sz w:val="18"/>
              </w:rPr>
              <w:t>Višak prihoda od nefinancijske imovine - preneseni</w:t>
            </w:r>
          </w:p>
        </w:tc>
        <w:tc>
          <w:tcPr>
            <w:tcW w:w="700" w:type="dxa"/>
            <w:tcMar>
              <w:top w:w="0" w:type="dxa"/>
              <w:bottom w:w="0" w:type="dxa"/>
            </w:tcMar>
            <w:vAlign w:val="center"/>
          </w:tcPr>
          <w:p w14:paraId="503DB59A" w14:textId="77777777" w:rsidR="00FA2BDA" w:rsidRDefault="0061149C">
            <w:pPr>
              <w:keepNext/>
              <w:keepLines/>
              <w:spacing w:after="0" w:line="240" w:lineRule="auto"/>
            </w:pPr>
            <w:r>
              <w:rPr>
                <w:sz w:val="18"/>
              </w:rPr>
              <w:t>92212</w:t>
            </w:r>
          </w:p>
        </w:tc>
        <w:tc>
          <w:tcPr>
            <w:tcW w:w="1860" w:type="dxa"/>
            <w:tcMar>
              <w:top w:w="0" w:type="dxa"/>
              <w:bottom w:w="0" w:type="dxa"/>
            </w:tcMar>
            <w:vAlign w:val="center"/>
          </w:tcPr>
          <w:p w14:paraId="6A6CA56B" w14:textId="77777777" w:rsidR="00FA2BDA" w:rsidRDefault="0061149C">
            <w:pPr>
              <w:keepNext/>
              <w:keepLines/>
              <w:spacing w:after="0" w:line="240" w:lineRule="auto"/>
              <w:jc w:val="right"/>
            </w:pPr>
            <w:r>
              <w:rPr>
                <w:sz w:val="18"/>
              </w:rPr>
              <w:t>279,16</w:t>
            </w:r>
          </w:p>
        </w:tc>
        <w:tc>
          <w:tcPr>
            <w:tcW w:w="1860" w:type="dxa"/>
            <w:tcMar>
              <w:top w:w="0" w:type="dxa"/>
              <w:bottom w:w="0" w:type="dxa"/>
            </w:tcMar>
            <w:vAlign w:val="center"/>
          </w:tcPr>
          <w:p w14:paraId="6512D6DB" w14:textId="77777777" w:rsidR="00FA2BDA" w:rsidRDefault="0061149C">
            <w:pPr>
              <w:keepNext/>
              <w:keepLines/>
              <w:spacing w:after="0" w:line="240" w:lineRule="auto"/>
              <w:jc w:val="right"/>
            </w:pPr>
            <w:r>
              <w:rPr>
                <w:sz w:val="18"/>
              </w:rPr>
              <w:t>602,22</w:t>
            </w:r>
          </w:p>
        </w:tc>
        <w:tc>
          <w:tcPr>
            <w:tcW w:w="700" w:type="dxa"/>
            <w:tcMar>
              <w:top w:w="0" w:type="dxa"/>
              <w:bottom w:w="0" w:type="dxa"/>
            </w:tcMar>
            <w:vAlign w:val="center"/>
          </w:tcPr>
          <w:p w14:paraId="1EC9795C" w14:textId="77777777" w:rsidR="00FA2BDA" w:rsidRDefault="0061149C">
            <w:pPr>
              <w:keepNext/>
              <w:keepLines/>
              <w:spacing w:after="0" w:line="240" w:lineRule="auto"/>
              <w:jc w:val="right"/>
            </w:pPr>
            <w:r>
              <w:rPr>
                <w:sz w:val="18"/>
              </w:rPr>
              <w:t>215,7</w:t>
            </w:r>
          </w:p>
        </w:tc>
      </w:tr>
    </w:tbl>
    <w:p w14:paraId="1678B6AD" w14:textId="77777777" w:rsidR="00FA2BDA" w:rsidRDefault="00FA2BDA">
      <w:pPr>
        <w:spacing w:after="0"/>
      </w:pPr>
    </w:p>
    <w:p w14:paraId="3004B5C8" w14:textId="77777777" w:rsidR="00FA2BDA" w:rsidRDefault="0061149C">
      <w:pPr>
        <w:spacing w:line="240" w:lineRule="auto"/>
        <w:jc w:val="both"/>
      </w:pPr>
      <w:r>
        <w:t xml:space="preserve">Višak prihoda od nefinancijske imovine - preneseni se mijenjao po Odluci o raspodjeli rezultata od 13.03.2025. godine te iznosi 602,22 EUR. Nešto je veći u </w:t>
      </w:r>
      <w:r>
        <w:t>odnosu na 2024. godinu jer smo prenesli neutrošeni višak od kapitalnih donacija u iznosu od 500,00 EUR te kapitalni prihod od prodaje stanova u iznosu od 102,22 EUR.</w:t>
      </w:r>
    </w:p>
    <w:p w14:paraId="3FBE9691" w14:textId="77777777" w:rsidR="00FA2BDA" w:rsidRDefault="00FA2BDA"/>
    <w:p w14:paraId="0DA31B82" w14:textId="77777777" w:rsidR="00FA2BDA" w:rsidRDefault="0061149C">
      <w:pPr>
        <w:keepNext/>
        <w:spacing w:line="240" w:lineRule="auto"/>
        <w:jc w:val="center"/>
      </w:pPr>
      <w:r>
        <w:rPr>
          <w:sz w:val="28"/>
        </w:rPr>
        <w:t>Bilješka 44.</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4EA9C6C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563141B"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5072D66"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F655082"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CCE7CBE" w14:textId="77777777" w:rsidR="00FA2BDA" w:rsidRDefault="0061149C">
            <w:pPr>
              <w:keepNext/>
              <w:keepLines/>
              <w:spacing w:after="0" w:line="240" w:lineRule="auto"/>
              <w:jc w:val="center"/>
            </w:pPr>
            <w:r>
              <w:rPr>
                <w:b/>
                <w:sz w:val="18"/>
              </w:rPr>
              <w:t>Ostvareno u izvještajnom razdoblju pre</w:t>
            </w:r>
            <w:r>
              <w:rPr>
                <w:b/>
                <w:sz w:val="18"/>
              </w:rPr>
              <w:t>thodne godine</w:t>
            </w:r>
          </w:p>
        </w:tc>
        <w:tc>
          <w:tcPr>
            <w:tcW w:w="1860" w:type="dxa"/>
            <w:shd w:val="clear" w:color="auto" w:fill="E7F0F9"/>
            <w:tcMar>
              <w:top w:w="0" w:type="dxa"/>
              <w:bottom w:w="0" w:type="dxa"/>
            </w:tcMar>
            <w:vAlign w:val="center"/>
          </w:tcPr>
          <w:p w14:paraId="4894660E"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01C099F" w14:textId="77777777" w:rsidR="00FA2BDA" w:rsidRDefault="0061149C">
            <w:pPr>
              <w:keepNext/>
              <w:keepLines/>
              <w:spacing w:after="0" w:line="240" w:lineRule="auto"/>
              <w:jc w:val="center"/>
            </w:pPr>
            <w:r>
              <w:rPr>
                <w:b/>
                <w:sz w:val="18"/>
              </w:rPr>
              <w:t>Indeks (%)</w:t>
            </w:r>
          </w:p>
        </w:tc>
      </w:tr>
      <w:tr w:rsidR="00FA2BDA" w14:paraId="7C9EA00E" w14:textId="77777777">
        <w:tblPrEx>
          <w:tblCellMar>
            <w:top w:w="0" w:type="dxa"/>
            <w:bottom w:w="0" w:type="dxa"/>
          </w:tblCellMar>
        </w:tblPrEx>
        <w:trPr>
          <w:cantSplit/>
          <w:trHeight w:val="560"/>
        </w:trPr>
        <w:tc>
          <w:tcPr>
            <w:tcW w:w="700" w:type="dxa"/>
            <w:tcMar>
              <w:top w:w="0" w:type="dxa"/>
              <w:bottom w:w="0" w:type="dxa"/>
            </w:tcMar>
            <w:vAlign w:val="center"/>
          </w:tcPr>
          <w:p w14:paraId="623B3B46" w14:textId="77777777" w:rsidR="00FA2BDA" w:rsidRDefault="0061149C">
            <w:pPr>
              <w:keepNext/>
              <w:keepLines/>
              <w:spacing w:after="0" w:line="240" w:lineRule="auto"/>
            </w:pPr>
            <w:r>
              <w:rPr>
                <w:sz w:val="18"/>
              </w:rPr>
              <w:t>97</w:t>
            </w:r>
          </w:p>
        </w:tc>
        <w:tc>
          <w:tcPr>
            <w:tcW w:w="3180" w:type="dxa"/>
            <w:tcMar>
              <w:top w:w="0" w:type="dxa"/>
              <w:bottom w:w="0" w:type="dxa"/>
            </w:tcMar>
            <w:vAlign w:val="center"/>
          </w:tcPr>
          <w:p w14:paraId="155DCE24" w14:textId="77777777" w:rsidR="00FA2BDA" w:rsidRDefault="0061149C">
            <w:pPr>
              <w:keepNext/>
              <w:keepLines/>
              <w:spacing w:after="0" w:line="240" w:lineRule="auto"/>
            </w:pPr>
            <w:r>
              <w:rPr>
                <w:sz w:val="18"/>
              </w:rPr>
              <w:t>Obračunati prihodi od prodaje nefinancijske imovine - nenaplaćeni</w:t>
            </w:r>
          </w:p>
        </w:tc>
        <w:tc>
          <w:tcPr>
            <w:tcW w:w="700" w:type="dxa"/>
            <w:tcMar>
              <w:top w:w="0" w:type="dxa"/>
              <w:bottom w:w="0" w:type="dxa"/>
            </w:tcMar>
            <w:vAlign w:val="center"/>
          </w:tcPr>
          <w:p w14:paraId="4AB9E929" w14:textId="77777777" w:rsidR="00FA2BDA" w:rsidRDefault="0061149C">
            <w:pPr>
              <w:keepNext/>
              <w:keepLines/>
              <w:spacing w:after="0" w:line="240" w:lineRule="auto"/>
            </w:pPr>
            <w:r>
              <w:rPr>
                <w:sz w:val="18"/>
              </w:rPr>
              <w:t>97</w:t>
            </w:r>
          </w:p>
        </w:tc>
        <w:tc>
          <w:tcPr>
            <w:tcW w:w="1860" w:type="dxa"/>
            <w:tcMar>
              <w:top w:w="0" w:type="dxa"/>
              <w:bottom w:w="0" w:type="dxa"/>
            </w:tcMar>
            <w:vAlign w:val="center"/>
          </w:tcPr>
          <w:p w14:paraId="59329891" w14:textId="77777777" w:rsidR="00FA2BDA" w:rsidRDefault="0061149C">
            <w:pPr>
              <w:keepNext/>
              <w:keepLines/>
              <w:spacing w:after="0" w:line="240" w:lineRule="auto"/>
              <w:jc w:val="right"/>
            </w:pPr>
            <w:r>
              <w:rPr>
                <w:sz w:val="18"/>
              </w:rPr>
              <w:t>159,30</w:t>
            </w:r>
          </w:p>
        </w:tc>
        <w:tc>
          <w:tcPr>
            <w:tcW w:w="1860" w:type="dxa"/>
            <w:tcMar>
              <w:top w:w="0" w:type="dxa"/>
              <w:bottom w:w="0" w:type="dxa"/>
            </w:tcMar>
            <w:vAlign w:val="center"/>
          </w:tcPr>
          <w:p w14:paraId="0513E83E" w14:textId="77777777" w:rsidR="00FA2BDA" w:rsidRDefault="0061149C">
            <w:pPr>
              <w:keepNext/>
              <w:keepLines/>
              <w:spacing w:after="0" w:line="240" w:lineRule="auto"/>
              <w:jc w:val="right"/>
            </w:pPr>
            <w:r>
              <w:rPr>
                <w:sz w:val="18"/>
              </w:rPr>
              <w:t>185,85</w:t>
            </w:r>
          </w:p>
        </w:tc>
        <w:tc>
          <w:tcPr>
            <w:tcW w:w="700" w:type="dxa"/>
            <w:tcMar>
              <w:top w:w="0" w:type="dxa"/>
              <w:bottom w:w="0" w:type="dxa"/>
            </w:tcMar>
            <w:vAlign w:val="center"/>
          </w:tcPr>
          <w:p w14:paraId="67C145C6" w14:textId="77777777" w:rsidR="00FA2BDA" w:rsidRDefault="0061149C">
            <w:pPr>
              <w:keepNext/>
              <w:keepLines/>
              <w:spacing w:after="0" w:line="240" w:lineRule="auto"/>
              <w:jc w:val="right"/>
            </w:pPr>
            <w:r>
              <w:rPr>
                <w:sz w:val="18"/>
              </w:rPr>
              <w:t>116,7</w:t>
            </w:r>
          </w:p>
        </w:tc>
      </w:tr>
    </w:tbl>
    <w:p w14:paraId="6C6F4533" w14:textId="77777777" w:rsidR="00FA2BDA" w:rsidRDefault="00FA2BDA">
      <w:pPr>
        <w:spacing w:after="0"/>
      </w:pPr>
    </w:p>
    <w:p w14:paraId="03BEA925" w14:textId="77777777" w:rsidR="00FA2BDA" w:rsidRDefault="0061149C">
      <w:pPr>
        <w:spacing w:line="240" w:lineRule="auto"/>
        <w:jc w:val="both"/>
      </w:pPr>
      <w:r>
        <w:t xml:space="preserve">Obračunati prihodi od prodaje nefinancijske imovine - nenaplaćeni, na koje </w:t>
      </w:r>
      <w:r>
        <w:t>knjižimo obračunate prihode od prodaje stanova na kojima postoji stanarsko pravo,  imaju ostvarenje od 185,85 EUR te rast indeksa na 116,7 jer je za 2024. godinu ostala nepodmirena jedna nedospjela rata.</w:t>
      </w:r>
    </w:p>
    <w:p w14:paraId="446BAE68" w14:textId="77777777" w:rsidR="00FA2BDA" w:rsidRDefault="00FA2BDA"/>
    <w:p w14:paraId="720EADEF" w14:textId="77777777" w:rsidR="00FA2BDA" w:rsidRDefault="0061149C">
      <w:pPr>
        <w:keepNext/>
        <w:spacing w:line="240" w:lineRule="auto"/>
        <w:jc w:val="center"/>
      </w:pPr>
      <w:r>
        <w:rPr>
          <w:sz w:val="28"/>
        </w:rPr>
        <w:t>Bilješka 45.</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54F211D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833A814"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0C3E3A7"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6015615"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C504A5B"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F416006" w14:textId="77777777" w:rsidR="00FA2BDA" w:rsidRDefault="0061149C">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A0D8D49" w14:textId="77777777" w:rsidR="00FA2BDA" w:rsidRDefault="0061149C">
            <w:pPr>
              <w:keepNext/>
              <w:keepLines/>
              <w:spacing w:after="0" w:line="240" w:lineRule="auto"/>
              <w:jc w:val="center"/>
            </w:pPr>
            <w:r>
              <w:rPr>
                <w:b/>
                <w:sz w:val="18"/>
              </w:rPr>
              <w:t>Indeks (%)</w:t>
            </w:r>
          </w:p>
        </w:tc>
      </w:tr>
      <w:tr w:rsidR="00FA2BDA" w14:paraId="01A53644" w14:textId="77777777">
        <w:tblPrEx>
          <w:tblCellMar>
            <w:top w:w="0" w:type="dxa"/>
            <w:bottom w:w="0" w:type="dxa"/>
          </w:tblCellMar>
        </w:tblPrEx>
        <w:trPr>
          <w:cantSplit/>
          <w:trHeight w:val="560"/>
        </w:trPr>
        <w:tc>
          <w:tcPr>
            <w:tcW w:w="700" w:type="dxa"/>
            <w:tcMar>
              <w:top w:w="0" w:type="dxa"/>
              <w:bottom w:w="0" w:type="dxa"/>
            </w:tcMar>
            <w:vAlign w:val="center"/>
          </w:tcPr>
          <w:p w14:paraId="65A27922" w14:textId="77777777" w:rsidR="00FA2BDA" w:rsidRDefault="0061149C">
            <w:pPr>
              <w:keepNext/>
              <w:keepLines/>
              <w:spacing w:after="0" w:line="240" w:lineRule="auto"/>
            </w:pPr>
            <w:r>
              <w:rPr>
                <w:sz w:val="18"/>
              </w:rPr>
              <w:t>9221x, 9222x</w:t>
            </w:r>
          </w:p>
        </w:tc>
        <w:tc>
          <w:tcPr>
            <w:tcW w:w="3180" w:type="dxa"/>
            <w:tcMar>
              <w:top w:w="0" w:type="dxa"/>
              <w:bottom w:w="0" w:type="dxa"/>
            </w:tcMar>
            <w:vAlign w:val="center"/>
          </w:tcPr>
          <w:p w14:paraId="250DF102" w14:textId="77777777" w:rsidR="00FA2BDA" w:rsidRDefault="0061149C">
            <w:pPr>
              <w:keepNext/>
              <w:keepLines/>
              <w:spacing w:after="0" w:line="240" w:lineRule="auto"/>
            </w:pPr>
            <w:r>
              <w:rPr>
                <w:sz w:val="18"/>
              </w:rPr>
              <w:t>Manjak prihoda - preneseni (šifre 92221+92222-92211-92212)</w:t>
            </w:r>
          </w:p>
        </w:tc>
        <w:tc>
          <w:tcPr>
            <w:tcW w:w="700" w:type="dxa"/>
            <w:tcMar>
              <w:top w:w="0" w:type="dxa"/>
              <w:bottom w:w="0" w:type="dxa"/>
            </w:tcMar>
            <w:vAlign w:val="center"/>
          </w:tcPr>
          <w:p w14:paraId="22E3A388" w14:textId="77777777" w:rsidR="00FA2BDA" w:rsidRDefault="0061149C">
            <w:pPr>
              <w:keepNext/>
              <w:keepLines/>
              <w:spacing w:after="0" w:line="240" w:lineRule="auto"/>
            </w:pPr>
            <w:r>
              <w:rPr>
                <w:sz w:val="18"/>
              </w:rPr>
              <w:t>9221x,9222x MP</w:t>
            </w:r>
          </w:p>
        </w:tc>
        <w:tc>
          <w:tcPr>
            <w:tcW w:w="1860" w:type="dxa"/>
            <w:tcMar>
              <w:top w:w="0" w:type="dxa"/>
              <w:bottom w:w="0" w:type="dxa"/>
            </w:tcMar>
            <w:vAlign w:val="center"/>
          </w:tcPr>
          <w:p w14:paraId="12056F07" w14:textId="77777777" w:rsidR="00FA2BDA" w:rsidRDefault="0061149C">
            <w:pPr>
              <w:keepNext/>
              <w:keepLines/>
              <w:spacing w:after="0" w:line="240" w:lineRule="auto"/>
              <w:jc w:val="right"/>
            </w:pPr>
            <w:r>
              <w:rPr>
                <w:sz w:val="18"/>
              </w:rPr>
              <w:t>45.011,44</w:t>
            </w:r>
          </w:p>
        </w:tc>
        <w:tc>
          <w:tcPr>
            <w:tcW w:w="1860" w:type="dxa"/>
            <w:tcMar>
              <w:top w:w="0" w:type="dxa"/>
              <w:bottom w:w="0" w:type="dxa"/>
            </w:tcMar>
            <w:vAlign w:val="center"/>
          </w:tcPr>
          <w:p w14:paraId="7581121E" w14:textId="77777777" w:rsidR="00FA2BDA" w:rsidRDefault="0061149C">
            <w:pPr>
              <w:keepNext/>
              <w:keepLines/>
              <w:spacing w:after="0" w:line="240" w:lineRule="auto"/>
              <w:jc w:val="right"/>
            </w:pPr>
            <w:r>
              <w:rPr>
                <w:sz w:val="18"/>
              </w:rPr>
              <w:t>67.215,07</w:t>
            </w:r>
          </w:p>
        </w:tc>
        <w:tc>
          <w:tcPr>
            <w:tcW w:w="700" w:type="dxa"/>
            <w:tcMar>
              <w:top w:w="0" w:type="dxa"/>
              <w:bottom w:w="0" w:type="dxa"/>
            </w:tcMar>
            <w:vAlign w:val="center"/>
          </w:tcPr>
          <w:p w14:paraId="73A0FA0A" w14:textId="77777777" w:rsidR="00FA2BDA" w:rsidRDefault="0061149C">
            <w:pPr>
              <w:keepNext/>
              <w:keepLines/>
              <w:spacing w:after="0" w:line="240" w:lineRule="auto"/>
              <w:jc w:val="right"/>
            </w:pPr>
            <w:r>
              <w:rPr>
                <w:sz w:val="18"/>
              </w:rPr>
              <w:t>149,3</w:t>
            </w:r>
          </w:p>
        </w:tc>
      </w:tr>
    </w:tbl>
    <w:p w14:paraId="3A1F8015" w14:textId="77777777" w:rsidR="00FA2BDA" w:rsidRDefault="00FA2BDA">
      <w:pPr>
        <w:spacing w:after="0"/>
      </w:pPr>
    </w:p>
    <w:p w14:paraId="65817401" w14:textId="77777777" w:rsidR="00FA2BDA" w:rsidRDefault="0061149C">
      <w:pPr>
        <w:spacing w:line="240" w:lineRule="auto"/>
        <w:jc w:val="both"/>
      </w:pPr>
      <w:r>
        <w:t xml:space="preserve">Manjak prihoda - </w:t>
      </w:r>
      <w:r>
        <w:t>preneseni iznosi 67.215,07 EUR jer je ostvaren veći metodološki manjak u odnosu na isto razdoblje prošle godine.</w:t>
      </w:r>
    </w:p>
    <w:p w14:paraId="324C2F85" w14:textId="77777777" w:rsidR="00FA2BDA" w:rsidRDefault="00FA2BDA"/>
    <w:p w14:paraId="2FC7BD09" w14:textId="77777777" w:rsidR="00FA2BDA" w:rsidRDefault="0061149C">
      <w:pPr>
        <w:keepNext/>
        <w:spacing w:line="240" w:lineRule="auto"/>
        <w:jc w:val="center"/>
      </w:pPr>
      <w:r>
        <w:rPr>
          <w:sz w:val="28"/>
        </w:rPr>
        <w:t>Bilješka 46.</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A2BDA" w14:paraId="0F58F49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CABD332"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6D1DF3D"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6DD1DF"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C192004" w14:textId="77777777" w:rsidR="00FA2BDA" w:rsidRDefault="0061149C">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AEE28A5" w14:textId="77777777" w:rsidR="00FA2BDA" w:rsidRDefault="0061149C">
            <w:pPr>
              <w:keepNext/>
              <w:keepLines/>
              <w:spacing w:after="0" w:line="240" w:lineRule="auto"/>
              <w:jc w:val="center"/>
            </w:pPr>
            <w:r>
              <w:rPr>
                <w:b/>
                <w:sz w:val="18"/>
              </w:rPr>
              <w:t>Ostvareno u izvještajnom razdoblju teku</w:t>
            </w:r>
            <w:r>
              <w:rPr>
                <w:b/>
                <w:sz w:val="18"/>
              </w:rPr>
              <w:t>će godine</w:t>
            </w:r>
          </w:p>
        </w:tc>
        <w:tc>
          <w:tcPr>
            <w:tcW w:w="700" w:type="dxa"/>
            <w:shd w:val="clear" w:color="auto" w:fill="E7F0F9"/>
            <w:tcMar>
              <w:top w:w="0" w:type="dxa"/>
              <w:bottom w:w="0" w:type="dxa"/>
            </w:tcMar>
            <w:vAlign w:val="center"/>
          </w:tcPr>
          <w:p w14:paraId="2D9A3110" w14:textId="77777777" w:rsidR="00FA2BDA" w:rsidRDefault="0061149C">
            <w:pPr>
              <w:keepNext/>
              <w:keepLines/>
              <w:spacing w:after="0" w:line="240" w:lineRule="auto"/>
              <w:jc w:val="center"/>
            </w:pPr>
            <w:r>
              <w:rPr>
                <w:b/>
                <w:sz w:val="18"/>
              </w:rPr>
              <w:t>Indeks (%)</w:t>
            </w:r>
          </w:p>
        </w:tc>
      </w:tr>
      <w:tr w:rsidR="00FA2BDA" w14:paraId="0AFDEBCB" w14:textId="77777777">
        <w:tblPrEx>
          <w:tblCellMar>
            <w:top w:w="0" w:type="dxa"/>
            <w:bottom w:w="0" w:type="dxa"/>
          </w:tblCellMar>
        </w:tblPrEx>
        <w:trPr>
          <w:cantSplit/>
          <w:trHeight w:val="560"/>
        </w:trPr>
        <w:tc>
          <w:tcPr>
            <w:tcW w:w="700" w:type="dxa"/>
            <w:tcMar>
              <w:top w:w="0" w:type="dxa"/>
              <w:bottom w:w="0" w:type="dxa"/>
            </w:tcMar>
            <w:vAlign w:val="center"/>
          </w:tcPr>
          <w:p w14:paraId="62AC7DDA" w14:textId="77777777" w:rsidR="00FA2BDA" w:rsidRDefault="00FA2BDA">
            <w:pPr>
              <w:keepNext/>
              <w:keepLines/>
              <w:spacing w:after="0" w:line="240" w:lineRule="auto"/>
            </w:pPr>
          </w:p>
        </w:tc>
        <w:tc>
          <w:tcPr>
            <w:tcW w:w="3180" w:type="dxa"/>
            <w:tcMar>
              <w:top w:w="0" w:type="dxa"/>
              <w:bottom w:w="0" w:type="dxa"/>
            </w:tcMar>
            <w:vAlign w:val="center"/>
          </w:tcPr>
          <w:p w14:paraId="0E650018" w14:textId="77777777" w:rsidR="00FA2BDA" w:rsidRDefault="0061149C">
            <w:pPr>
              <w:keepNext/>
              <w:keepLines/>
              <w:spacing w:after="0" w:line="240" w:lineRule="auto"/>
            </w:pPr>
            <w:r>
              <w:rPr>
                <w:sz w:val="18"/>
              </w:rPr>
              <w:t>Manjak prihoda i primitaka za pokriće u sljedećem razdoblju (šifre Y005 + '9222-9221' - X005 - '9221-9222' )</w:t>
            </w:r>
          </w:p>
        </w:tc>
        <w:tc>
          <w:tcPr>
            <w:tcW w:w="700" w:type="dxa"/>
            <w:tcMar>
              <w:top w:w="0" w:type="dxa"/>
              <w:bottom w:w="0" w:type="dxa"/>
            </w:tcMar>
            <w:vAlign w:val="center"/>
          </w:tcPr>
          <w:p w14:paraId="53C161C6" w14:textId="77777777" w:rsidR="00FA2BDA" w:rsidRDefault="0061149C">
            <w:pPr>
              <w:keepNext/>
              <w:keepLines/>
              <w:spacing w:after="0" w:line="240" w:lineRule="auto"/>
            </w:pPr>
            <w:r>
              <w:rPr>
                <w:sz w:val="18"/>
              </w:rPr>
              <w:t>Y006</w:t>
            </w:r>
          </w:p>
        </w:tc>
        <w:tc>
          <w:tcPr>
            <w:tcW w:w="1860" w:type="dxa"/>
            <w:tcMar>
              <w:top w:w="0" w:type="dxa"/>
              <w:bottom w:w="0" w:type="dxa"/>
            </w:tcMar>
            <w:vAlign w:val="center"/>
          </w:tcPr>
          <w:p w14:paraId="3CD0C697" w14:textId="77777777" w:rsidR="00FA2BDA" w:rsidRDefault="0061149C">
            <w:pPr>
              <w:keepNext/>
              <w:keepLines/>
              <w:spacing w:after="0" w:line="240" w:lineRule="auto"/>
              <w:jc w:val="right"/>
            </w:pPr>
            <w:r>
              <w:rPr>
                <w:sz w:val="18"/>
              </w:rPr>
              <w:t>45.994,29</w:t>
            </w:r>
          </w:p>
        </w:tc>
        <w:tc>
          <w:tcPr>
            <w:tcW w:w="1860" w:type="dxa"/>
            <w:tcMar>
              <w:top w:w="0" w:type="dxa"/>
              <w:bottom w:w="0" w:type="dxa"/>
            </w:tcMar>
            <w:vAlign w:val="center"/>
          </w:tcPr>
          <w:p w14:paraId="305F6AA5" w14:textId="77777777" w:rsidR="00FA2BDA" w:rsidRDefault="0061149C">
            <w:pPr>
              <w:keepNext/>
              <w:keepLines/>
              <w:spacing w:after="0" w:line="240" w:lineRule="auto"/>
              <w:jc w:val="right"/>
            </w:pPr>
            <w:r>
              <w:rPr>
                <w:sz w:val="18"/>
              </w:rPr>
              <w:t>243.046,82</w:t>
            </w:r>
          </w:p>
        </w:tc>
        <w:tc>
          <w:tcPr>
            <w:tcW w:w="700" w:type="dxa"/>
            <w:tcMar>
              <w:top w:w="0" w:type="dxa"/>
              <w:bottom w:w="0" w:type="dxa"/>
            </w:tcMar>
            <w:vAlign w:val="center"/>
          </w:tcPr>
          <w:p w14:paraId="578B02F9" w14:textId="77777777" w:rsidR="00FA2BDA" w:rsidRDefault="0061149C">
            <w:pPr>
              <w:keepNext/>
              <w:keepLines/>
              <w:spacing w:after="0" w:line="240" w:lineRule="auto"/>
              <w:jc w:val="right"/>
            </w:pPr>
            <w:r>
              <w:rPr>
                <w:sz w:val="18"/>
              </w:rPr>
              <w:t>528,4</w:t>
            </w:r>
          </w:p>
        </w:tc>
      </w:tr>
    </w:tbl>
    <w:p w14:paraId="4A4B7C59" w14:textId="77777777" w:rsidR="00FA2BDA" w:rsidRDefault="00FA2BDA">
      <w:pPr>
        <w:spacing w:after="0"/>
      </w:pPr>
    </w:p>
    <w:p w14:paraId="4CEE459D" w14:textId="77777777" w:rsidR="00FA2BDA" w:rsidRDefault="0061149C">
      <w:pPr>
        <w:spacing w:line="240" w:lineRule="auto"/>
        <w:jc w:val="both"/>
      </w:pPr>
      <w:r>
        <w:t xml:space="preserve">Kada se zbroji manjak prihoda tekuće godine od 175.831,75EUR i manjak prihoda i </w:t>
      </w:r>
      <w:r>
        <w:t>primitaka preneseni od 67.215,07 EUR, na dan 30.06.2025. godine naša Škola prikazuje manjak prihoda i primitaka za pokriće u sljedećem razdoblju u iznosu od 243.046,82 EUR (šifra Y006). On je znatno veći u odnosu na isto razdoblje prošle godine jer smo u p</w:t>
      </w:r>
      <w:r>
        <w:t>rvom polugodištu knjižili rashode za 7 plaća, a prihode za 6 plaća, a sve prema novom Pravilniku o proračunskom računovodstvu i računskom planu.</w:t>
      </w:r>
    </w:p>
    <w:p w14:paraId="6BF1655C" w14:textId="77777777" w:rsidR="00FA2BDA" w:rsidRDefault="00FA2BDA"/>
    <w:p w14:paraId="26CA65A5" w14:textId="77777777" w:rsidR="00FA2BDA" w:rsidRDefault="0061149C">
      <w:pPr>
        <w:keepNext/>
        <w:spacing w:line="240" w:lineRule="auto"/>
        <w:jc w:val="center"/>
      </w:pPr>
      <w:r>
        <w:rPr>
          <w:b/>
          <w:sz w:val="28"/>
        </w:rPr>
        <w:t>Izvještaj o obvezama</w:t>
      </w:r>
    </w:p>
    <w:p w14:paraId="3DAA4215" w14:textId="77777777" w:rsidR="00FA2BDA" w:rsidRDefault="0061149C">
      <w:pPr>
        <w:keepNext/>
        <w:spacing w:line="240" w:lineRule="auto"/>
        <w:jc w:val="center"/>
      </w:pPr>
      <w:r>
        <w:rPr>
          <w:sz w:val="28"/>
        </w:rPr>
        <w:t>Bilješka 47.</w:t>
      </w:r>
    </w:p>
    <w:tbl>
      <w:tblPr>
        <w:tblW w:w="9000" w:type="dxa"/>
        <w:tblInd w:w="-15"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FA2BDA" w14:paraId="56533A3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7B602FC" w14:textId="77777777" w:rsidR="00FA2BDA" w:rsidRDefault="0061149C">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C9D51D8" w14:textId="77777777" w:rsidR="00FA2BDA" w:rsidRDefault="0061149C">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A598C35" w14:textId="77777777" w:rsidR="00FA2BDA" w:rsidRDefault="0061149C">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864A4B2" w14:textId="77777777" w:rsidR="00FA2BDA" w:rsidRDefault="0061149C">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580F1987" w14:textId="77777777" w:rsidR="00FA2BDA" w:rsidRDefault="0061149C">
            <w:pPr>
              <w:keepNext/>
              <w:keepLines/>
              <w:spacing w:after="0" w:line="240" w:lineRule="auto"/>
              <w:jc w:val="center"/>
            </w:pPr>
            <w:r>
              <w:rPr>
                <w:b/>
                <w:sz w:val="18"/>
              </w:rPr>
              <w:t>Indeks (%)</w:t>
            </w:r>
          </w:p>
        </w:tc>
      </w:tr>
      <w:tr w:rsidR="00FA2BDA" w14:paraId="561240DB" w14:textId="77777777">
        <w:tblPrEx>
          <w:tblCellMar>
            <w:top w:w="0" w:type="dxa"/>
            <w:bottom w:w="0" w:type="dxa"/>
          </w:tblCellMar>
        </w:tblPrEx>
        <w:trPr>
          <w:cantSplit/>
          <w:trHeight w:val="560"/>
        </w:trPr>
        <w:tc>
          <w:tcPr>
            <w:tcW w:w="700" w:type="dxa"/>
            <w:tcMar>
              <w:top w:w="0" w:type="dxa"/>
              <w:bottom w:w="0" w:type="dxa"/>
            </w:tcMar>
            <w:vAlign w:val="center"/>
          </w:tcPr>
          <w:p w14:paraId="51ED3894" w14:textId="77777777" w:rsidR="00FA2BDA" w:rsidRDefault="00FA2BDA">
            <w:pPr>
              <w:keepNext/>
              <w:keepLines/>
              <w:spacing w:after="0" w:line="240" w:lineRule="auto"/>
            </w:pPr>
          </w:p>
        </w:tc>
        <w:tc>
          <w:tcPr>
            <w:tcW w:w="3180" w:type="dxa"/>
            <w:tcMar>
              <w:top w:w="0" w:type="dxa"/>
              <w:bottom w:w="0" w:type="dxa"/>
            </w:tcMar>
            <w:vAlign w:val="center"/>
          </w:tcPr>
          <w:p w14:paraId="14A0757D" w14:textId="77777777" w:rsidR="00FA2BDA" w:rsidRDefault="0061149C">
            <w:pPr>
              <w:keepNext/>
              <w:keepLines/>
              <w:spacing w:after="0" w:line="240" w:lineRule="auto"/>
            </w:pPr>
            <w:r>
              <w:rPr>
                <w:sz w:val="18"/>
              </w:rPr>
              <w:t xml:space="preserve">Stanje </w:t>
            </w:r>
            <w:r>
              <w:rPr>
                <w:sz w:val="18"/>
              </w:rPr>
              <w:t>dospjelih obveza na kraju izvještajnog razdoblja (šifre V008+D23+D24 + 'D dio 25,26' + D27)</w:t>
            </w:r>
          </w:p>
        </w:tc>
        <w:tc>
          <w:tcPr>
            <w:tcW w:w="700" w:type="dxa"/>
            <w:tcMar>
              <w:top w:w="0" w:type="dxa"/>
              <w:bottom w:w="0" w:type="dxa"/>
            </w:tcMar>
            <w:vAlign w:val="center"/>
          </w:tcPr>
          <w:p w14:paraId="6AC7E937" w14:textId="77777777" w:rsidR="00FA2BDA" w:rsidRDefault="0061149C">
            <w:pPr>
              <w:keepNext/>
              <w:keepLines/>
              <w:spacing w:after="0" w:line="240" w:lineRule="auto"/>
            </w:pPr>
            <w:r>
              <w:rPr>
                <w:sz w:val="18"/>
              </w:rPr>
              <w:t>V007</w:t>
            </w:r>
          </w:p>
        </w:tc>
        <w:tc>
          <w:tcPr>
            <w:tcW w:w="1860" w:type="dxa"/>
            <w:tcMar>
              <w:top w:w="0" w:type="dxa"/>
              <w:bottom w:w="0" w:type="dxa"/>
            </w:tcMar>
            <w:vAlign w:val="center"/>
          </w:tcPr>
          <w:p w14:paraId="124AD4A6" w14:textId="77777777" w:rsidR="00FA2BDA" w:rsidRDefault="0061149C">
            <w:pPr>
              <w:keepNext/>
              <w:keepLines/>
              <w:spacing w:after="0" w:line="240" w:lineRule="auto"/>
              <w:jc w:val="right"/>
            </w:pPr>
            <w:r>
              <w:rPr>
                <w:sz w:val="18"/>
              </w:rPr>
              <w:t>0,00</w:t>
            </w:r>
          </w:p>
        </w:tc>
        <w:tc>
          <w:tcPr>
            <w:tcW w:w="700" w:type="dxa"/>
            <w:tcMar>
              <w:top w:w="0" w:type="dxa"/>
              <w:bottom w:w="0" w:type="dxa"/>
            </w:tcMar>
            <w:vAlign w:val="center"/>
          </w:tcPr>
          <w:p w14:paraId="5BCCACE9" w14:textId="77777777" w:rsidR="00FA2BDA" w:rsidRDefault="0061149C">
            <w:pPr>
              <w:keepNext/>
              <w:keepLines/>
              <w:spacing w:after="0" w:line="240" w:lineRule="auto"/>
              <w:jc w:val="right"/>
            </w:pPr>
            <w:r>
              <w:rPr>
                <w:sz w:val="18"/>
              </w:rPr>
              <w:t>-</w:t>
            </w:r>
          </w:p>
        </w:tc>
      </w:tr>
    </w:tbl>
    <w:p w14:paraId="154F0613" w14:textId="77777777" w:rsidR="00FA2BDA" w:rsidRDefault="00FA2BDA">
      <w:pPr>
        <w:spacing w:after="0"/>
      </w:pPr>
    </w:p>
    <w:p w14:paraId="13A8CBB1" w14:textId="77777777" w:rsidR="00FA2BDA" w:rsidRDefault="0061149C">
      <w:pPr>
        <w:spacing w:line="240" w:lineRule="auto"/>
        <w:jc w:val="both"/>
      </w:pPr>
      <w:r>
        <w:t>Na dan 30.06.2025. godine naša škola nema dospjelih obveza.</w:t>
      </w:r>
    </w:p>
    <w:p w14:paraId="4D9AEF09" w14:textId="77777777" w:rsidR="00FA2BDA" w:rsidRDefault="00FA2BDA"/>
    <w:sectPr w:rsidR="00FA2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DA"/>
    <w:rsid w:val="0061149C"/>
    <w:rsid w:val="00FA2B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0656"/>
  <w15:docId w15:val="{614BC7E2-34B0-4C75-AE89-2BA23F0C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3707</Words>
  <Characters>21134</Characters>
  <Application>Microsoft Office Word</Application>
  <DocSecurity>0</DocSecurity>
  <Lines>176</Lines>
  <Paragraphs>49</Paragraphs>
  <ScaleCrop>false</ScaleCrop>
  <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Andreja</cp:lastModifiedBy>
  <cp:revision>2</cp:revision>
  <dcterms:created xsi:type="dcterms:W3CDTF">2025-07-09T11:14:00Z</dcterms:created>
  <dcterms:modified xsi:type="dcterms:W3CDTF">2025-07-09T11:14:00Z</dcterms:modified>
</cp:coreProperties>
</file>