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023cb50d2954824"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8504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O.Š. BRAĆA RADIĆ, KOPRIVNICA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1.780.328,85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2.048.487,12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1.952.743,14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1.909.106,06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139.381,06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3.417,46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7.988,00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3.417,46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1.828,00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53,5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137.553,06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Osnovna škola „Braća Radić“ je u prvom polugodištu 2026. godine ukupno ostvarila prihode poslovanja u iznosu od 2.048.487,12 EUR (šifra 6). Ukupni rashodi poslovanja (šifra 3)  realizirani su u iznosu od 1.909.106,06 EUR te je višak prihoda poslovanja (šifra X001) 139.381,06 EUR. Ostvareno je više prihoda u odnosu na rashode jer su iz 2025. godine preneseni veliki metodološki manjkovi (za neplaćene račune, plaću iz COP-a, plaću pomoćnika u nastavi, shemu voća i mlijeka, Erasmus projekte, školsku kuhinju). Ukupni prihodi od prodaje nefinancijske imovine (šifra 7) iznose 6.160,00 EUR, a  ukupni rashodi za nabavu nefinancijske imovine (šifra 4) iznose 7.988,00 EUR, pa je manjak prihoda od nefinancijske imovine (šifra Y002) 1.828,00 EUR. Prihod od nefinancijske imovine smo ostvarili prodajom poljoprivrednog zemljišta te smo na taj način smanjili manjak prihoda od NFI. Iskazani rezultat prvog polugodišta tekuće godine predstavlja višak prihoda i primitaka (šifra X005) u iznosu od 137.553,06 EUR. Najveći razlog ostvarenog viška prihoda i primitaka u prvom polugodištu 2026. godine je što smo u siječnju i veljači ostvarili prihode za pokriće gore navedenih metodoloških manjkova iz 2025. godine.</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Tekući prijenosi između proračunskih korisnika istog proračuna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47.220,28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64.848,80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137,3</w:t>
            </w:r>
          </w:p>
        </w:tc>
      </w:tr>
    </w:tbl>
    <w:p>
      <w:pPr>
        <w:spacing w:before="0" w:after="0"/>
      </w:pPr>
    </w:p>
    <w:p>
      <w:r>
        <w:t xml:space="preserve">Tekući prijenosi između proračunskih korisnika istog proračuna temeljem prijenosa EU sredstava bilježe stanje 64.848,80 EUR te rast indeksa na 137,3 zbog povećanja broja zaposlenih pomoćnika u nastavi (sa 13 na 18) i povećanja bruto satnice sa 7,50 EUR na 8,50 EUR.</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1.646,96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1.893,46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115,0</w:t>
            </w:r>
          </w:p>
        </w:tc>
      </w:tr>
    </w:tbl>
    <w:p>
      <w:pPr>
        <w:spacing w:before="0" w:after="0"/>
      </w:pPr>
    </w:p>
    <w:p>
      <w:r>
        <w:br/>
      </w:r>
      <w:r>
        <w:t xml:space="preserve">Ostali nespomenuti prihodi bilježe stanje od 1.893,46 EUR i rast indeksa na 115 jer smo imali više terenskih nastava koje su plaćali roditelji.</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1.668,71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w:t>
            </w:r>
          </w:p>
        </w:tc>
      </w:tr>
    </w:tbl>
    <w:p>
      <w:pPr>
        <w:spacing w:before="0" w:after="0"/>
      </w:pPr>
    </w:p>
    <w:p>
      <w:r>
        <w:t xml:space="preserve">Prihodi od prodaje proizvoda i robe bilježe stanje od 335,93 EUR i pad indeksa na 20,1 jer smo u 2025. godini bilježili prihod od viška prodane električne energije i više smo baterija te akumulatora prodali poduzeću FRIŠ d.o.o..</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3.618,41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5.013,53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138,6</w:t>
            </w:r>
          </w:p>
        </w:tc>
      </w:tr>
    </w:tbl>
    <w:p>
      <w:pPr>
        <w:spacing w:before="0" w:after="0"/>
      </w:pPr>
    </w:p>
    <w:p>
      <w:r>
        <w:t xml:space="preserve">Prihodi od pruženih usluga bilježe stanje od 5.013,53 EUR te rast indeksa na 138,6 jer smo u 2026. godini potpisali novi ugovor o zakupu prostora sa firmom SALSADOS J d.o.o. te ostvarujemo novi prihod od 180,00 do 360,00 EUR ovisno o broju dana koji zakupe u toku mjeseca.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1550,0</w:t>
            </w:r>
          </w:p>
        </w:tc>
      </w:tr>
    </w:tbl>
    <w:p>
      <w:pPr>
        <w:spacing w:before="0" w:after="0"/>
      </w:pPr>
    </w:p>
    <w:p>
      <w:r>
        <w:t xml:space="preserve">Tekuće donacije bilježe stanje od 3.100,00 EUR te rast indeksa na 1550 jer smo ove godine primili prihode od donacija od nekoliko firmi za kupnju materijala za natjecanje Modelarska liga.</w:t>
      </w:r>
    </w:p>
    <w:p>
      <w:r>
        <w:t xml:space="preserve">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w:t>
            </w:r>
          </w:p>
        </w:tc>
      </w:tr>
    </w:tbl>
    <w:p>
      <w:pPr>
        <w:spacing w:before="0" w:after="0"/>
      </w:pPr>
    </w:p>
    <w:p>
      <w:r>
        <w:t xml:space="preserve">Kapitalne donacije bilježe ostvarenje od 350,00 EUR te pad indeksa na 18,8 jer smo prošle godine dobili od Hrvatskog filmskog saveza donaciju od 1.360,00 EUR po natječaju naše filmske skupine.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271.777,38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349.628,77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128,6</w:t>
            </w:r>
          </w:p>
        </w:tc>
      </w:tr>
    </w:tbl>
    <w:p>
      <w:pPr>
        <w:spacing w:before="0" w:after="0"/>
      </w:pPr>
    </w:p>
    <w:p>
      <w:r>
        <w:t xml:space="preserve">Prihodi iz nadležnog proračuna za financiranje rashoda poslovanja bilježe stanje od 349.628,77 EUR te rast indeksa na 128,6 jer je iz 2025. godine prenesen puno veći metodološki manjak koji se podmirio u siječnju i veljači 2026. godine.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121.464,60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Prihodi iz nadležnog proračuna za financiranje rashoda za nabavu nefinancijske imovine bilježe stanje od 121.464,60 EUR te rast indeksa &gt;&gt;100 jer je u 2026. godinu prenesen veliki metodološki manjak, a račun se odnosio na rekonstrukciju sanitarija u svlačionicama kraj dvorane i u wc-ima predmetne nastave.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w:t>
            </w:r>
          </w:p>
        </w:tc>
      </w:tr>
    </w:tbl>
    <w:p>
      <w:pPr>
        <w:spacing w:before="0" w:after="0"/>
      </w:pPr>
    </w:p>
    <w:p>
      <w:r>
        <w:t xml:space="preserve">Ostali prihodi bilježe stanje od 25,00 EUR jer je u 2026. godini naplaćen prihod samo za jednu ovrhu po kojoj smo ostvarili vlastiti prihod, a u 2025. godini je naplaćeno 6 ovrha.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1.268.248,12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1.170.856,20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92,3</w:t>
            </w:r>
          </w:p>
        </w:tc>
      </w:tr>
    </w:tbl>
    <w:p>
      <w:pPr>
        <w:spacing w:before="0" w:after="0"/>
      </w:pPr>
    </w:p>
    <w:p>
      <w:r>
        <w:t xml:space="preserve">Plaće za redovan rad bilježe stanje od 1.170.856,20 EUR te pad indeksa na 92,3 jer je prema novom Pravilniku o proračunskom računovodstvu i računskom planu ukinuta podskupina 193 pa se sedma plaća u prvom polugodištu 2025.godine knjižila kao rashod.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64.307,00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70.934,13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110,3</w:t>
            </w:r>
          </w:p>
        </w:tc>
      </w:tr>
    </w:tbl>
    <w:p>
      <w:pPr>
        <w:spacing w:before="0" w:after="0"/>
      </w:pPr>
    </w:p>
    <w:p>
      <w:r>
        <w:t xml:space="preserve">Plaće za prekovremeni rad imaju ostvarenje od 70.934,13 EUR te rast indeksa na 110,3, a najveći razlog je što nismo mogli naći stručnu zamjenu za kolegicu iz matematike koja je na rodiljnom dopustu pa su ju mijenjali ostali kolege koji predaju matematiku.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posebne uvjete rada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8.504,14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10.038,79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118,0</w:t>
            </w:r>
          </w:p>
        </w:tc>
      </w:tr>
    </w:tbl>
    <w:p>
      <w:pPr>
        <w:spacing w:before="0" w:after="0"/>
      </w:pPr>
    </w:p>
    <w:p>
      <w:r>
        <w:t xml:space="preserve">Plaće za posebne uvjete rada bilježe ostvarenje od 10.038,79 EUR te je rast indeksa na 118,0 zbog više djece koje smo imali po prilagođenom programu u školskoj godini 2025./2026.</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8.602,77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11.471,02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133,3</w:t>
            </w:r>
          </w:p>
        </w:tc>
      </w:tr>
    </w:tbl>
    <w:p>
      <w:pPr>
        <w:spacing w:before="0" w:after="0"/>
      </w:pPr>
    </w:p>
    <w:p>
      <w:r>
        <w:t xml:space="preserve">Službena putovanja imaju stanje od 11.471,02 EUR te rast indeksa na 133,3 EUR jer se ove godine više putovalo na terenske nastave i seminare.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18.829,14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17.763,25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94,3</w:t>
            </w:r>
          </w:p>
        </w:tc>
      </w:tr>
    </w:tbl>
    <w:p>
      <w:pPr>
        <w:spacing w:before="0" w:after="0"/>
      </w:pPr>
    </w:p>
    <w:p>
      <w:r>
        <w:t xml:space="preserve">Naknade za prijevoz, za rad na terenu i odvojeni život bilježe ostvarenje od 17.763,25 EUR te pad indeksa na 94,3 zbog odlaska učitelja u mirovinu i učitelja koji su bili na zamjeni, a koji su imali veliku udaljenost do škole pa smo im isplaćivali veće troškove prijevoza.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1.523,47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7.803,53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512,2</w:t>
            </w:r>
          </w:p>
        </w:tc>
      </w:tr>
    </w:tbl>
    <w:p>
      <w:pPr>
        <w:spacing w:before="0" w:after="0"/>
      </w:pPr>
    </w:p>
    <w:p>
      <w:r>
        <w:t xml:space="preserve">Stručno usavršavanje zaposlenika ima stanje od 7.803,53 EUR te rast indeksa od 512,2 jer su naši učitelji u 2026. godini u odnosu na isto razdoblje prošle godine putovali preko Erasmus projekta te su se troškovi individualnih potpora knjižili na stručna usavršavanja.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13.499,65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120,1</w:t>
            </w:r>
          </w:p>
        </w:tc>
      </w:tr>
    </w:tbl>
    <w:p>
      <w:pPr>
        <w:spacing w:before="0" w:after="0"/>
      </w:pPr>
    </w:p>
    <w:p>
      <w:r>
        <w:t xml:space="preserve">Uredski materijal i ostali materijalni rashodi bilježe stanje od 13.499,65 EUR te rast indeksa na 120,1 zbog više nabavljenih sredstava za čišćenje te uredskog materijala, kao i dodatnog materijala za natjecanje Modelarska liga.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20.812,23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31.858,61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153,1</w:t>
            </w:r>
          </w:p>
        </w:tc>
      </w:tr>
    </w:tbl>
    <w:p>
      <w:pPr>
        <w:spacing w:before="0" w:after="0"/>
      </w:pPr>
    </w:p>
    <w:p>
      <w:r>
        <w:t xml:space="preserve">Energija bilježi ostvarenje od 31.858,61 EUR te je rast indeksa na 153,1 jer su porasli računi za električnu energiju i plin.</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1.950,55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1.775,95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91,0</w:t>
            </w:r>
          </w:p>
        </w:tc>
      </w:tr>
    </w:tbl>
    <w:p>
      <w:pPr>
        <w:spacing w:before="0" w:after="0"/>
      </w:pPr>
    </w:p>
    <w:p>
      <w:r>
        <w:t xml:space="preserve">Materijal i dijelovi za tekuće i investicijsko održavanje bilježe stanje od 1.775,95 EUR te pad indeksa na 91,0 zbog smanjene potrebe za popravcima i kupovinom materijala za isto.</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2.556,69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2.274,01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88,9</w:t>
            </w:r>
          </w:p>
        </w:tc>
      </w:tr>
    </w:tbl>
    <w:p>
      <w:pPr>
        <w:spacing w:before="0" w:after="0"/>
      </w:pPr>
    </w:p>
    <w:p>
      <w:r>
        <w:t xml:space="preserve">Sitni inventar i autogume bilježe stanje od 2.274,01 EUR te pad indeksa na 88,9 jer smo prošle godine u istom razdoblju nabavljali mobitele za učitelje što je bio veći trošak, dok smo ove godine imali manju potrebu za kupnjom sitnog inventara.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948,20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1.200,76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126,6</w:t>
            </w:r>
          </w:p>
        </w:tc>
      </w:tr>
    </w:tbl>
    <w:p>
      <w:pPr>
        <w:spacing w:before="0" w:after="0"/>
      </w:pPr>
    </w:p>
    <w:p>
      <w:r>
        <w:t xml:space="preserve">Službena, radna i zaštitna odjeća i obuća bilježi stanje od 1.200,76 EUR te rast indeksa na 126,6 jer smo ove godine više novaca utrošili na radnu odjeću za spremačice.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8.899,54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18.711,10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210,2</w:t>
            </w:r>
          </w:p>
        </w:tc>
      </w:tr>
    </w:tbl>
    <w:p>
      <w:pPr>
        <w:spacing w:before="0" w:after="0"/>
      </w:pPr>
    </w:p>
    <w:p>
      <w:r>
        <w:t xml:space="preserve">Usluge tekućeg i investicijskog održavanja bilježe ostvarenje od 18.711,10 EUR te rast indeksa na 210,2 jer smo ove godine imali poveći izdatak od 6.495,00 EUR za kupnju uređaja za demineralizaciju vode.</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746,55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w:t>
            </w:r>
          </w:p>
        </w:tc>
      </w:tr>
    </w:tbl>
    <w:p>
      <w:pPr>
        <w:spacing w:before="0" w:after="0"/>
      </w:pPr>
    </w:p>
    <w:p>
      <w:r>
        <w:t xml:space="preserve">Usluge promidžbe i informiranja imaju ostvarenje od 746,55 EUR te rast indeksa na 300 jer su u 2026. godini plaćena tri oglasa za javnu nabavu, a u 2025. godini samo jedan.</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10.211,29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17.375,54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170,2</w:t>
            </w:r>
          </w:p>
        </w:tc>
      </w:tr>
    </w:tbl>
    <w:p>
      <w:pPr>
        <w:spacing w:before="0" w:after="0"/>
      </w:pPr>
    </w:p>
    <w:p>
      <w:r>
        <w:t xml:space="preserve">Komunalne usluge imaju ostvarenje od 17.375,54 EUR te rast indeksa na 170,2 jer u odnosu na isto razdoblje prošle godine, u 2026. godini imamo novi mjesečni trošak za oborinsku odvodnju.</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6.110,04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8.950,34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146,5</w:t>
            </w:r>
          </w:p>
        </w:tc>
      </w:tr>
    </w:tbl>
    <w:p>
      <w:pPr>
        <w:spacing w:before="0" w:after="0"/>
      </w:pPr>
    </w:p>
    <w:p>
      <w:r>
        <w:t xml:space="preserve">Zakupnine i najamnine imaju ostvarenje od 8.950,34 EUR te rast indeksa na 146,5 jer smo ove godine imali puno veće troškove kopiranja.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4.435,80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7.707,20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173,7</w:t>
            </w:r>
          </w:p>
        </w:tc>
      </w:tr>
    </w:tbl>
    <w:p>
      <w:pPr>
        <w:spacing w:before="0" w:after="0"/>
      </w:pPr>
    </w:p>
    <w:p>
      <w:r>
        <w:t xml:space="preserve">Zdravstvene i veterinarske usluge bilježe ostvarenje od 7.707,20 EUR te rast indeksa na 173,7 jer je u 2026. godini veći broj zaposlenika koristio svoje pravo na sistematski pregled te je napravljen zdravstveni pregled na medicini rada za dva nova radnika i tri nove pomoćnice u nastavi.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1.296,37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509,06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39,3</w:t>
            </w:r>
          </w:p>
        </w:tc>
      </w:tr>
    </w:tbl>
    <w:p>
      <w:pPr>
        <w:spacing w:before="0" w:after="0"/>
      </w:pPr>
    </w:p>
    <w:p>
      <w:r>
        <w:t xml:space="preserve">Intelektualne i osobne usluge bilježe stanje od 509,06 EUR te pad indeksa na 39,3 jer smo u istom razdoblju prošle godine, osim ugovora o djelu i autorskih honorara,  knjižili i elaborat sigurnosne procjene zaštite objekta čiji je trošak iznosio 786,25 EUR.</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8.434,26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Naknade troškova osobama izvan radnog odnosa bilježe stanje od 8.434,26 EUR te indeks &gt;&gt;100 jer smo ove godine knjižili trošak individualnih potpora za učenike koji su putovali s učiteljima u okviru Erasmus projekata.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1.732,17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419,3</w:t>
            </w:r>
          </w:p>
        </w:tc>
      </w:tr>
    </w:tbl>
    <w:p>
      <w:pPr>
        <w:spacing w:before="0" w:after="0"/>
      </w:pPr>
    </w:p>
    <w:p>
      <w:r>
        <w:t xml:space="preserve">Premije osiguranja bilježe stanje od 1.732,17 EUR te rast indeksa na 419,3. Razlog takvog rasta indeksa je povećanje police osiguranja imovine u 2026. godini te je u istom razdoblju 2025. godine knjižena samo jedna rata, a u 2026. godini dvije rate osiguranja imovine.</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1.509,09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5.775,21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382,7</w:t>
            </w:r>
          </w:p>
        </w:tc>
      </w:tr>
    </w:tbl>
    <w:p>
      <w:pPr>
        <w:spacing w:before="0" w:after="0"/>
      </w:pPr>
    </w:p>
    <w:p>
      <w:r>
        <w:t xml:space="preserve">Ostali nespomenuti rashodi poslovanja bilježe stanje od 5.775,21 EUR te rast indeksa na 382,7 EUR jer smo ove godine knjižili dva veća troška prehrane na međuopćinskom natjecanju u futsalu te smo učitelju iz engleskog jezika isplaćivali troškove putovanja na HIPPO natjecanje. Osim toga na taj konto su knjiženi i neki troškovi u sklopu Erasmus projekta što nije bio slučaj prošle godine.</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301,62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2908,6</w:t>
            </w:r>
          </w:p>
        </w:tc>
      </w:tr>
    </w:tbl>
    <w:p>
      <w:pPr>
        <w:spacing w:before="0" w:after="0"/>
      </w:pPr>
    </w:p>
    <w:p>
      <w:r>
        <w:t xml:space="preserve">Naknade građanima i kućanstvima u naravi bilježe ostvarenje od 301,62 EUR te indeks od 2908,6 jer smo ove godine naručivali više dodatnih udžbenika za novoupisane učenike, nego u odnosu na isto razdoblje prošle godine.</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139.381,06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Višak prihoda poslovanja je ostvaren u prvom polugodištu ove godine u iznosu od 139.381,06 EUR iz razloga što smo imali za pokriće puno metodoloških manjkova, za razliku od prošle godine kada je ostvaren manjak prihoda poslovanja.</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67.817,29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305.848,85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451,0</w:t>
            </w:r>
          </w:p>
        </w:tc>
      </w:tr>
    </w:tbl>
    <w:p>
      <w:pPr>
        <w:spacing w:before="0" w:after="0"/>
      </w:pPr>
    </w:p>
    <w:p>
      <w:r>
        <w:t xml:space="preserve">Manjak prihoda poslovanja - preneseni se mijenjao po Odluci o raspodjeli rezultata od 08.05.2026. godine i iznosi 305.848,85 EUR. Puno je veći u odnosu na isto razdoblje 2025. godine jer smo prenesli puno više metodoloških manjkova, a najveći se odnosi na manjak plaće iz COP-a (zbog knjiženja 13-e plaće).</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208.382,73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263.105,41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126,3</w:t>
            </w:r>
          </w:p>
        </w:tc>
      </w:tr>
    </w:tbl>
    <w:p>
      <w:pPr>
        <w:spacing w:before="0" w:after="0"/>
      </w:pPr>
    </w:p>
    <w:p>
      <w:r>
        <w:t xml:space="preserve">Obračunati prihodi poslovanja - nenaplaćeni bilježe ostvarenje od 263.105,41 EUR te je rast indeksa na 126,3 jer je u 2026. godini knjižena veća plaća te potraživanje za kuhinju.</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Zemljište bilježi ostvarenje od 6.160,00 EUR jer smo ove godine sklopili ugovor o prodaji poljoprivrednog zemljišta u Koprivničkom Ivancu te smo za to ostvarili i prihod.</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3.417,46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7.988,00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233,7</w:t>
            </w:r>
          </w:p>
        </w:tc>
      </w:tr>
    </w:tbl>
    <w:p>
      <w:pPr>
        <w:spacing w:before="0" w:after="0"/>
      </w:pPr>
    </w:p>
    <w:p>
      <w:r>
        <w:t xml:space="preserve">Rashodi za nabavu nefinancijske imovine bilježe ostvarenje od 7.988,00 EUR te je rast indeksa na 233,7 jer smo ove godine realizirali nabavu namještaja u prvoj polovici godine, a prošle godine u drugoj polovici godine te smo nabavili i projektor za hol te laptop za učiteljicu matematike.</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6.704,00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231,2</w:t>
            </w:r>
          </w:p>
        </w:tc>
      </w:tr>
    </w:tbl>
    <w:p>
      <w:pPr>
        <w:spacing w:before="0" w:after="0"/>
      </w:pPr>
    </w:p>
    <w:p>
      <w:r>
        <w:t xml:space="preserve">Uredska oprema i namještaj bilježi ostvarenje od 6.704,00 EUR te je rast indeksa na 231,2 jer smo ove godine realizirali nabavu namještaja u prvoj polovici godine, a prošle godine u drugoj polovici godine. </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309,8</w:t>
            </w:r>
          </w:p>
        </w:tc>
      </w:tr>
    </w:tbl>
    <w:p>
      <w:pPr>
        <w:spacing w:before="0" w:after="0"/>
      </w:pPr>
    </w:p>
    <w:p>
      <w:r>
        <w:t xml:space="preserve">Knjige bilježe stanje od 1.284,00 EUR te rast indeksa na 309,8 jer je nabavljeno više knjiga za školsku knjižnicu te je naručeno više dodatnih udžbenika za novoupisane učenike škole.</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 preneseni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120.723,61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Manjak prihoda od nefinancijske imovine - preneseni se mijenjao po Odluci o raspodjeli rezultata od 08.05.2026. godine i iznosi 120.723,61 EUR.</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67.215,07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426.572,46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634,6</w:t>
            </w:r>
          </w:p>
        </w:tc>
      </w:tr>
    </w:tbl>
    <w:p>
      <w:pPr>
        <w:spacing w:before="0" w:after="0"/>
      </w:pPr>
    </w:p>
    <w:p>
      <w:r>
        <w:t xml:space="preserve">Manjak prihoda - preneseni iznosi 426.572,46 EUR s indeksom od 634,6 te je puno veći u odnosu na 2025. godinu jer su preneseni puno veći metodološki manjkovi. Najveći manjak se odnosi na plaću iz COP-a jer smo prema novom Pravilniku o proračunskom računovodstvu i računskom planu zbog ukidanja podskupine 193, morali knjižiti 13 rashoda za plaću, a samo 12 prihoda.</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208.568,58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263.105,41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126,1</w:t>
            </w:r>
          </w:p>
        </w:tc>
      </w:tr>
    </w:tbl>
    <w:p>
      <w:pPr>
        <w:spacing w:before="0" w:after="0"/>
      </w:pPr>
    </w:p>
    <w:p>
      <w:r>
        <w:t xml:space="preserve">Obračunati prihodi poslovanja i od prodaje nefinancijske imovine - nenaplaćeni bilježe ostvarenje od 263.105,41 EUR te je rast indeksa na 126,1 jer je u 2026. godini knjižena veća plaća te potraživanje za kuhinju.</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 preneseni (šifre '9221x,9222x MP' - '9221x,9222x VP' + 92223 - 92213)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67.215,07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426.572,46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634,6</w:t>
            </w:r>
          </w:p>
        </w:tc>
      </w:tr>
    </w:tbl>
    <w:p>
      <w:pPr>
        <w:spacing w:before="0" w:after="0"/>
      </w:pPr>
    </w:p>
    <w:p>
      <w:r>
        <w:t xml:space="preserve">Manjak prihoda i primitaka -preneseni  iznosi 426.572,46 EUR s indeksom od 634,6 te je puno veći u odnosu na 2025. godinu jer su preneseni puno veći metodološki manjkovi. Najveći manjak se odnosi na plaću iz COP-a jer smo prema novom Pravilniku o proračunskom računovodstvu i računskom planu zbog ukidanja podskupine 193, morali knjižiti 13 rashoda za plaću, a samo 12 prihoda.</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243.046,82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289.019,40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118,9</w:t>
            </w:r>
          </w:p>
        </w:tc>
      </w:tr>
    </w:tbl>
    <w:p>
      <w:pPr>
        <w:spacing w:before="0" w:after="0"/>
      </w:pPr>
    </w:p>
    <w:p>
      <w:r>
        <w:t xml:space="preserve">Kada se zbroji višak prihoda i primitaka tekuće godine od 137.553,06 EUR i manjak prihoda i primitaka - preneseni od 426.572,46 EUR, na dan 30.06.2026. godine naša škola prikazuje manjak prihoda i primitaka z pokriće u sljedećem razdoblju u iznosu od 289.019,40 EUR. Nešto je veći u odnosu na isto razdoblje prošle godine zbog više prenesenih metodoloških manjkova. </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Prosječan broj zaposlenih kod korisnika na osnovi stanja na početku i na kraju izvještajnog razdoblja (cijeli broj)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107,1</w:t>
            </w:r>
          </w:p>
        </w:tc>
      </w:tr>
    </w:tbl>
    <w:p>
      <w:pPr>
        <w:spacing w:before="0" w:after="0"/>
      </w:pPr>
    </w:p>
    <w:p>
      <w:r>
        <w:t xml:space="preserve"> Prosječan broj zaposlenih kod korisnika na osnovi stanja na početku i na kraju izvještajnog razdoblja (cijeli broj) je veći i iznosi 106,0 te je indeks 107,1 jer imamo više zaposlenih pomoćnika u nastavi te dva nova operativna djelatnika za sigurnost i civilnu zaštitu.</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Prosječan broj zaposlenih kod korisnika na osnovi sati rada (cijeli broj)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w:t>
            </w:r>
          </w:p>
        </w:tc>
      </w:tr>
    </w:tbl>
    <w:p>
      <w:pPr>
        <w:spacing w:before="0" w:after="0"/>
      </w:pPr>
    </w:p>
    <w:p>
      <w:r>
        <w:t xml:space="preserve"> Prosječan broj zaposlenih kod korisnika na osnovi sati rada (cijeli broj) je veći i iznosi 94,0 te je indeks 104,4 jer imamo više zaposlenih pomoćnika u nastavi te dva nova operativna djelatnika za sigurnost i civilnu zaštitu.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dan 30.06.2026. godine naša škola nema dospjelih obveza.</w:t>
      </w:r>
    </w:p>
    <w:p/>
    <w:p>
      <w:pPr>
        <w:jc w:val="center"/>
        <w:pStyle w:val="Normal"/>
        <w:spacing w:line="240" w:lineRule="auto"/>
        <w:keepNext/>
      </w:pPr>
      <w:r>
        <w:rPr>
          <w:sz w:val="28"/>
          <w:rFonts w:ascii="Times New Roman" w:hAnsi="Times New Roman"/>
        </w:rPr>
        <w:t xml:space="preserve">Bilješka 47.</w:t>
      </w:r>
    </w:p>
    <w:p>
      <w:pPr>
        <w:jc w:val="both"/>
        <w:pStyle w:val="Normal"/>
        <w:spacing w:line="240" w:lineRule="auto"/>
      </w:pPr>
      <w:r>
        <w:rPr>
          <w:b/>
          <w:sz w:val="24"/>
          <w:rFonts w:ascii="Times New Roman" w:hAnsi="Times New Roman"/>
        </w:rPr>
        <w:t xml:space="preserve">EU izvještaj</w:t>
      </w:r>
    </w:p>
    <w:p>
      <w:r>
        <w:t xml:space="preserve">EU izvještaj je popunjen u dijelu izvora Nacionalnog sufinanciranja, izvora 510-Programi Unije i izvora 561-Europski socijalni fond plus. </w:t>
      </w:r>
      <w:r>
        <w:br/>
      </w:r>
      <w:r>
        <w:t xml:space="preserve">Izvor Nacionalno sufinanciranje se odnosi dio na financiranje sheme voća  i mlijeka u iznosu od 3.353,49 EUR, a dio na financiranje plaće Pomoćnika u nastavi u iznosu od 9.666,57 EUR.</w:t>
      </w:r>
      <w:r>
        <w:br/>
      </w:r>
      <w:r>
        <w:t xml:space="preserve">Izvor 510-Programi Unije se odnosi na Erasmus projekte koje od druge polovice 2025. godine provodimo u školi. Ukupni rashodi za 2026. godinu za te projekte iznosili su 16.311,64 EUR od čega se dio odnosi na stručna osposobljavanja (7.070,14 EUR), dio na troškove osobama izvan radnog odnosa (7.534,34 EUR), a dio na ostale nespomenute rashode poslovanja (1.707,16 EUR).</w:t>
      </w:r>
      <w:r>
        <w:br/>
      </w:r>
      <w:r>
        <w:t xml:space="preserve">Izvor 561-Europski socijalni fond odnosi se na plaću pomoćnika u nastavi koja se financira iz EU te iznosi 54.775,20 EUR. Uspoređujući isto razdoblje 2025. i 2026. godine, sada postoji veći indeks u izvršenju, jer smo ove godine zaposlili 5 pomoćnika u nastavi više u odnosu na 2025. godinu.</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46c0a58bef764939" /></Relationships>
</file>